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宋体" w:cs="宋体"/>
          <w:b/>
          <w:bCs/>
          <w:sz w:val="28"/>
          <w:szCs w:val="28"/>
        </w:rPr>
      </w:pPr>
    </w:p>
    <w:p>
      <w:pPr>
        <w:adjustRightInd w:val="0"/>
        <w:snapToGrid w:val="0"/>
        <w:spacing w:line="600" w:lineRule="exact"/>
        <w:jc w:val="center"/>
        <w:rPr>
          <w:rFonts w:ascii="宋体" w:cs="宋体"/>
          <w:b/>
          <w:bCs/>
          <w:sz w:val="28"/>
          <w:szCs w:val="28"/>
        </w:rPr>
      </w:pPr>
    </w:p>
    <w:p>
      <w:pPr>
        <w:adjustRightInd w:val="0"/>
        <w:snapToGrid w:val="0"/>
        <w:spacing w:afterLines="50" w:line="600" w:lineRule="exact"/>
        <w:jc w:val="center"/>
        <w:rPr>
          <w:rFonts w:ascii="宋体" w:cs="宋体"/>
          <w:sz w:val="28"/>
          <w:szCs w:val="28"/>
        </w:rPr>
      </w:pPr>
    </w:p>
    <w:p>
      <w:pPr>
        <w:spacing w:afterLines="100" w:line="360" w:lineRule="auto"/>
        <w:jc w:val="center"/>
        <w:rPr>
          <w:rFonts w:ascii="宋体" w:cs="宋体"/>
          <w:b/>
          <w:bCs/>
          <w:sz w:val="44"/>
          <w:szCs w:val="44"/>
        </w:rPr>
      </w:pPr>
      <w:r>
        <w:rPr>
          <w:rFonts w:hint="eastAsia" w:ascii="宋体" w:hAnsi="宋体" w:cs="宋体"/>
          <w:b/>
          <w:bCs/>
          <w:sz w:val="44"/>
          <w:szCs w:val="44"/>
        </w:rPr>
        <w:t>湖口县水利局</w:t>
      </w:r>
    </w:p>
    <w:p>
      <w:pPr>
        <w:spacing w:afterLines="100" w:line="360" w:lineRule="auto"/>
        <w:jc w:val="center"/>
        <w:rPr>
          <w:rFonts w:ascii="宋体" w:cs="宋体"/>
          <w:b/>
          <w:bCs/>
          <w:sz w:val="44"/>
          <w:szCs w:val="44"/>
        </w:rPr>
      </w:pPr>
      <w:r>
        <w:rPr>
          <w:rFonts w:hint="eastAsia" w:ascii="宋体" w:hAnsi="宋体" w:cs="宋体"/>
          <w:b/>
          <w:bCs/>
          <w:sz w:val="44"/>
          <w:szCs w:val="44"/>
        </w:rPr>
        <w:t>农村贫困户改水项目</w:t>
      </w:r>
    </w:p>
    <w:p>
      <w:pPr>
        <w:spacing w:afterLines="100" w:line="360" w:lineRule="auto"/>
        <w:jc w:val="center"/>
        <w:rPr>
          <w:rFonts w:ascii="宋体"/>
          <w:b/>
          <w:bCs/>
          <w:sz w:val="44"/>
          <w:szCs w:val="44"/>
        </w:rPr>
      </w:pPr>
      <w:r>
        <w:rPr>
          <w:rFonts w:ascii="宋体" w:hAnsi="宋体" w:cs="宋体"/>
          <w:b/>
          <w:bCs/>
          <w:sz w:val="44"/>
          <w:szCs w:val="44"/>
        </w:rPr>
        <w:t>2019</w:t>
      </w:r>
      <w:r>
        <w:rPr>
          <w:rFonts w:hint="eastAsia" w:ascii="宋体" w:hAnsi="宋体" w:cs="宋体"/>
          <w:b/>
          <w:bCs/>
          <w:sz w:val="44"/>
          <w:szCs w:val="44"/>
        </w:rPr>
        <w:t>年度绩效评价报</w:t>
      </w:r>
      <w:r>
        <w:rPr>
          <w:rFonts w:hint="eastAsia" w:ascii="宋体" w:hAnsi="宋体"/>
          <w:b/>
          <w:bCs/>
          <w:sz w:val="44"/>
          <w:szCs w:val="44"/>
        </w:rPr>
        <w:t>告</w:t>
      </w:r>
    </w:p>
    <w:p>
      <w:pPr>
        <w:widowControl/>
        <w:snapToGrid w:val="0"/>
        <w:spacing w:line="600" w:lineRule="exact"/>
        <w:ind w:right="700"/>
        <w:jc w:val="center"/>
        <w:rPr>
          <w:rFonts w:ascii="宋体" w:cs="宋体"/>
          <w:b/>
          <w:bCs/>
          <w:sz w:val="28"/>
          <w:szCs w:val="28"/>
        </w:rPr>
      </w:pPr>
    </w:p>
    <w:p>
      <w:pPr>
        <w:spacing w:afterLines="100" w:line="360" w:lineRule="auto"/>
        <w:jc w:val="center"/>
        <w:rPr>
          <w:rFonts w:ascii="宋体"/>
          <w:szCs w:val="36"/>
        </w:rPr>
      </w:pPr>
    </w:p>
    <w:p>
      <w:pPr>
        <w:spacing w:afterLines="100" w:line="360" w:lineRule="auto"/>
        <w:jc w:val="cente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rPr>
          <w:rFonts w:ascii="宋体" w:hAnsi="Century Schoolbook"/>
          <w:spacing w:val="20"/>
          <w:sz w:val="32"/>
          <w:szCs w:val="32"/>
        </w:rPr>
      </w:pPr>
      <w:r>
        <w:rPr>
          <w:rFonts w:hint="eastAsia" w:ascii="宋体" w:hAnsi="Century Schoolbook"/>
          <w:spacing w:val="20"/>
          <w:sz w:val="32"/>
          <w:szCs w:val="32"/>
        </w:rPr>
        <w:t>委托单位：湖口县财政局</w:t>
      </w:r>
    </w:p>
    <w:p>
      <w:pPr>
        <w:tabs>
          <w:tab w:val="left" w:pos="0"/>
        </w:tabs>
        <w:spacing w:afterLines="100" w:line="360" w:lineRule="auto"/>
        <w:rPr>
          <w:spacing w:val="20"/>
          <w:sz w:val="32"/>
          <w:szCs w:val="32"/>
        </w:rPr>
      </w:pPr>
      <w:r>
        <w:rPr>
          <w:rFonts w:hint="eastAsia" w:ascii="宋体" w:hAnsi="Century Schoolbook"/>
          <w:spacing w:val="20"/>
          <w:sz w:val="32"/>
          <w:szCs w:val="32"/>
        </w:rPr>
        <w:t>评价单位：九江钟山会计师事务所有限公司</w:t>
      </w:r>
    </w:p>
    <w:p>
      <w:pPr>
        <w:tabs>
          <w:tab w:val="left" w:pos="0"/>
        </w:tabs>
        <w:spacing w:afterLines="100" w:line="360" w:lineRule="auto"/>
        <w:rPr>
          <w:spacing w:val="20"/>
        </w:rPr>
      </w:pPr>
      <w:r>
        <w:rPr>
          <w:rFonts w:hint="eastAsia" w:ascii="宋体" w:hAnsi="Century Schoolbook"/>
          <w:spacing w:val="20"/>
          <w:sz w:val="32"/>
          <w:szCs w:val="32"/>
        </w:rPr>
        <w:t>联系电话：</w:t>
      </w:r>
      <w:r>
        <w:rPr>
          <w:rFonts w:ascii="宋体" w:hAnsi="Century Schoolbook"/>
          <w:spacing w:val="20"/>
          <w:sz w:val="32"/>
          <w:szCs w:val="32"/>
        </w:rPr>
        <w:t>0792</w:t>
      </w:r>
      <w:r>
        <w:rPr>
          <w:rFonts w:hint="eastAsia" w:ascii="宋体" w:hAnsi="Century Schoolbook"/>
          <w:spacing w:val="20"/>
          <w:sz w:val="32"/>
          <w:szCs w:val="32"/>
        </w:rPr>
        <w:t>－</w:t>
      </w:r>
      <w:r>
        <w:rPr>
          <w:rFonts w:ascii="宋体" w:hAnsi="Century Schoolbook"/>
          <w:spacing w:val="20"/>
          <w:sz w:val="32"/>
          <w:szCs w:val="32"/>
        </w:rPr>
        <w:t>8266648</w:t>
      </w:r>
    </w:p>
    <w:p>
      <w:pPr>
        <w:widowControl/>
        <w:spacing w:afterLines="50" w:line="360" w:lineRule="auto"/>
        <w:jc w:val="center"/>
        <w:rPr>
          <w:rFonts w:ascii="宋体" w:cs="宋体"/>
          <w:kern w:val="0"/>
          <w:sz w:val="44"/>
          <w:szCs w:val="44"/>
        </w:rPr>
        <w:sectPr>
          <w:pgSz w:w="11906" w:h="16838"/>
          <w:pgMar w:top="1440" w:right="1800" w:bottom="1440" w:left="1800" w:header="851" w:footer="567" w:gutter="0"/>
          <w:cols w:space="720" w:num="1"/>
          <w:docGrid w:type="lines" w:linePitch="312" w:charSpace="0"/>
        </w:sectPr>
      </w:pPr>
    </w:p>
    <w:p>
      <w:pPr>
        <w:jc w:val="center"/>
        <w:rPr>
          <w:rFonts w:ascii="宋体" w:cs="宋体"/>
          <w:b/>
          <w:bCs/>
          <w:sz w:val="28"/>
          <w:szCs w:val="28"/>
        </w:rPr>
      </w:pPr>
      <w:bookmarkStart w:id="0" w:name="_Toc13819_WPSOffice_Level1"/>
      <w:bookmarkStart w:id="1" w:name="_Toc12165_WPSOffice_Level1"/>
      <w:bookmarkStart w:id="2" w:name="_Toc14623_WPSOffice_Level1"/>
      <w:bookmarkStart w:id="3" w:name="_Toc7753_WPSOffice_Level1"/>
      <w:bookmarkStart w:id="4" w:name="_Toc31471_WPSOffice_Level1"/>
      <w:bookmarkStart w:id="5" w:name="_Toc24457_WPSOffice_Level1"/>
      <w:r>
        <w:rPr>
          <w:rFonts w:hint="eastAsia" w:ascii="宋体" w:hAnsi="宋体" w:cs="宋体"/>
          <w:b/>
          <w:bCs/>
          <w:sz w:val="28"/>
          <w:szCs w:val="28"/>
        </w:rPr>
        <w:t>目录</w:t>
      </w:r>
    </w:p>
    <w:p>
      <w:pPr>
        <w:pStyle w:val="7"/>
        <w:tabs>
          <w:tab w:val="right" w:leader="dot" w:pos="8306"/>
        </w:tabs>
        <w:rPr>
          <w:sz w:val="28"/>
          <w:szCs w:val="28"/>
        </w:rPr>
      </w:pPr>
      <w:r>
        <w:rPr>
          <w:rFonts w:ascii="宋体" w:hAnsi="宋体" w:cs="宋体"/>
          <w:sz w:val="28"/>
          <w:szCs w:val="28"/>
        </w:rPr>
        <w:fldChar w:fldCharType="begin"/>
      </w:r>
      <w:r>
        <w:rPr>
          <w:rFonts w:ascii="宋体" w:hAnsi="宋体" w:cs="宋体"/>
          <w:sz w:val="28"/>
          <w:szCs w:val="28"/>
        </w:rPr>
        <w:instrText xml:space="preserve">TOC \o "1-2" \h \u </w:instrText>
      </w:r>
      <w:r>
        <w:rPr>
          <w:rFonts w:ascii="宋体" w:hAnsi="宋体" w:cs="宋体"/>
          <w:sz w:val="28"/>
          <w:szCs w:val="28"/>
        </w:rPr>
        <w:fldChar w:fldCharType="separate"/>
      </w:r>
      <w:r>
        <w:fldChar w:fldCharType="begin"/>
      </w:r>
      <w:r>
        <w:instrText xml:space="preserve"> HYPERLINK \l "_Toc7701" </w:instrText>
      </w:r>
      <w:r>
        <w:fldChar w:fldCharType="separate"/>
      </w:r>
      <w:r>
        <w:rPr>
          <w:rFonts w:hint="eastAsia" w:ascii="宋体" w:hAnsi="宋体" w:cs="宋体"/>
          <w:sz w:val="28"/>
          <w:szCs w:val="28"/>
        </w:rPr>
        <w:t>一、项目基本情况</w:t>
      </w:r>
      <w:r>
        <w:rPr>
          <w:sz w:val="28"/>
          <w:szCs w:val="28"/>
        </w:rPr>
        <w:tab/>
      </w:r>
      <w:r>
        <w:rPr>
          <w:sz w:val="28"/>
          <w:szCs w:val="28"/>
        </w:rPr>
        <w:fldChar w:fldCharType="begin"/>
      </w:r>
      <w:r>
        <w:rPr>
          <w:sz w:val="28"/>
          <w:szCs w:val="28"/>
        </w:rPr>
        <w:instrText xml:space="preserve"> PAGEREF _Toc7701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"_Toc26125" </w:instrText>
      </w:r>
      <w:r>
        <w:fldChar w:fldCharType="separate"/>
      </w:r>
      <w:r>
        <w:rPr>
          <w:rFonts w:hint="eastAsia" w:ascii="宋体" w:hAnsi="宋体" w:cs="宋体"/>
          <w:sz w:val="28"/>
          <w:szCs w:val="28"/>
        </w:rPr>
        <w:t>（一）项目概况</w:t>
      </w:r>
      <w:r>
        <w:rPr>
          <w:sz w:val="28"/>
          <w:szCs w:val="28"/>
        </w:rPr>
        <w:tab/>
      </w:r>
      <w:r>
        <w:rPr>
          <w:sz w:val="28"/>
          <w:szCs w:val="28"/>
        </w:rPr>
        <w:fldChar w:fldCharType="begin"/>
      </w:r>
      <w:r>
        <w:rPr>
          <w:sz w:val="28"/>
          <w:szCs w:val="28"/>
        </w:rPr>
        <w:instrText xml:space="preserve"> PAGEREF _Toc26125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"_Toc5418" </w:instrText>
      </w:r>
      <w:r>
        <w:fldChar w:fldCharType="separate"/>
      </w:r>
      <w:r>
        <w:rPr>
          <w:rFonts w:hint="eastAsia" w:ascii="宋体" w:hAnsi="宋体" w:cs="宋体"/>
          <w:sz w:val="28"/>
          <w:szCs w:val="28"/>
        </w:rPr>
        <w:t>（二）预算资金收支情况</w:t>
      </w:r>
      <w:r>
        <w:rPr>
          <w:sz w:val="28"/>
          <w:szCs w:val="28"/>
        </w:rPr>
        <w:tab/>
      </w:r>
      <w:r>
        <w:rPr>
          <w:sz w:val="28"/>
          <w:szCs w:val="28"/>
        </w:rPr>
        <w:fldChar w:fldCharType="begin"/>
      </w:r>
      <w:r>
        <w:rPr>
          <w:sz w:val="28"/>
          <w:szCs w:val="28"/>
        </w:rPr>
        <w:instrText xml:space="preserve"> PAGEREF _Toc5418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"_Toc30779" </w:instrText>
      </w:r>
      <w:r>
        <w:fldChar w:fldCharType="separate"/>
      </w:r>
      <w:r>
        <w:rPr>
          <w:rFonts w:hint="eastAsia" w:ascii="宋体" w:hAnsi="宋体" w:cs="宋体"/>
          <w:sz w:val="28"/>
          <w:szCs w:val="28"/>
        </w:rPr>
        <w:t>（三）</w:t>
      </w:r>
      <w:r>
        <w:rPr>
          <w:rFonts w:ascii="宋体" w:hAnsi="宋体" w:cs="宋体"/>
          <w:sz w:val="28"/>
          <w:szCs w:val="28"/>
        </w:rPr>
        <w:t xml:space="preserve"> </w:t>
      </w:r>
      <w:r>
        <w:rPr>
          <w:rFonts w:hint="eastAsia" w:ascii="宋体" w:hAnsi="宋体" w:cs="宋体"/>
          <w:sz w:val="28"/>
          <w:szCs w:val="28"/>
        </w:rPr>
        <w:t>项目组织管理情况</w:t>
      </w:r>
      <w:r>
        <w:rPr>
          <w:sz w:val="28"/>
          <w:szCs w:val="28"/>
        </w:rPr>
        <w:tab/>
      </w:r>
      <w:r>
        <w:rPr>
          <w:sz w:val="28"/>
          <w:szCs w:val="28"/>
        </w:rPr>
        <w:fldChar w:fldCharType="begin"/>
      </w:r>
      <w:r>
        <w:rPr>
          <w:sz w:val="28"/>
          <w:szCs w:val="28"/>
        </w:rPr>
        <w:instrText xml:space="preserve"> PAGEREF _Toc30779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"_Toc11645" </w:instrText>
      </w:r>
      <w:r>
        <w:fldChar w:fldCharType="separate"/>
      </w:r>
      <w:r>
        <w:rPr>
          <w:rFonts w:hint="eastAsia" w:ascii="宋体" w:hAnsi="宋体" w:cs="宋体"/>
          <w:sz w:val="28"/>
          <w:szCs w:val="28"/>
        </w:rPr>
        <w:t>（四）项目实施效果</w:t>
      </w:r>
      <w:r>
        <w:rPr>
          <w:sz w:val="28"/>
          <w:szCs w:val="28"/>
        </w:rPr>
        <w:tab/>
      </w:r>
      <w:r>
        <w:rPr>
          <w:sz w:val="28"/>
          <w:szCs w:val="28"/>
        </w:rPr>
        <w:fldChar w:fldCharType="begin"/>
      </w:r>
      <w:r>
        <w:rPr>
          <w:sz w:val="28"/>
          <w:szCs w:val="28"/>
        </w:rPr>
        <w:instrText xml:space="preserve"> PAGEREF _Toc11645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"_Toc9025" </w:instrText>
      </w:r>
      <w:r>
        <w:fldChar w:fldCharType="separate"/>
      </w:r>
      <w:r>
        <w:rPr>
          <w:rFonts w:hint="eastAsia" w:ascii="宋体" w:hAnsi="宋体" w:cs="宋体"/>
          <w:bCs/>
          <w:sz w:val="28"/>
          <w:szCs w:val="28"/>
        </w:rPr>
        <w:t>二、绩效评价管理</w:t>
      </w:r>
      <w:r>
        <w:rPr>
          <w:sz w:val="28"/>
          <w:szCs w:val="28"/>
        </w:rPr>
        <w:tab/>
      </w:r>
      <w:r>
        <w:rPr>
          <w:sz w:val="28"/>
          <w:szCs w:val="28"/>
        </w:rPr>
        <w:fldChar w:fldCharType="begin"/>
      </w:r>
      <w:r>
        <w:rPr>
          <w:sz w:val="28"/>
          <w:szCs w:val="28"/>
        </w:rPr>
        <w:instrText xml:space="preserve"> PAGEREF _Toc9025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"_Toc11913" </w:instrText>
      </w:r>
      <w:r>
        <w:fldChar w:fldCharType="separate"/>
      </w:r>
      <w:r>
        <w:rPr>
          <w:rFonts w:hint="eastAsia" w:ascii="宋体" w:hAnsi="宋体" w:cs="宋体"/>
          <w:sz w:val="28"/>
          <w:szCs w:val="28"/>
        </w:rPr>
        <w:t>（一）绩效评价标准</w:t>
      </w:r>
      <w:r>
        <w:rPr>
          <w:sz w:val="28"/>
          <w:szCs w:val="28"/>
        </w:rPr>
        <w:tab/>
      </w:r>
      <w:r>
        <w:rPr>
          <w:sz w:val="28"/>
          <w:szCs w:val="28"/>
        </w:rPr>
        <w:fldChar w:fldCharType="begin"/>
      </w:r>
      <w:r>
        <w:rPr>
          <w:sz w:val="28"/>
          <w:szCs w:val="28"/>
        </w:rPr>
        <w:instrText xml:space="preserve"> PAGEREF _Toc11913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"_Toc32616" </w:instrText>
      </w:r>
      <w:r>
        <w:fldChar w:fldCharType="separate"/>
      </w:r>
      <w:r>
        <w:rPr>
          <w:rFonts w:hint="eastAsia" w:ascii="宋体" w:hAnsi="宋体" w:cs="宋体"/>
          <w:sz w:val="28"/>
          <w:szCs w:val="28"/>
        </w:rPr>
        <w:t>（二）绩效评价原则、方法</w:t>
      </w:r>
      <w:r>
        <w:rPr>
          <w:sz w:val="28"/>
          <w:szCs w:val="28"/>
        </w:rPr>
        <w:tab/>
      </w:r>
      <w:r>
        <w:rPr>
          <w:sz w:val="28"/>
          <w:szCs w:val="28"/>
        </w:rPr>
        <w:fldChar w:fldCharType="begin"/>
      </w:r>
      <w:r>
        <w:rPr>
          <w:sz w:val="28"/>
          <w:szCs w:val="28"/>
        </w:rPr>
        <w:instrText xml:space="preserve"> PAGEREF _Toc32616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"_Toc19288" </w:instrText>
      </w:r>
      <w:r>
        <w:fldChar w:fldCharType="separate"/>
      </w:r>
      <w:r>
        <w:rPr>
          <w:rFonts w:hint="eastAsia" w:ascii="宋体" w:hAnsi="宋体" w:cs="宋体"/>
          <w:sz w:val="28"/>
          <w:szCs w:val="28"/>
        </w:rPr>
        <w:t>（三）绩效评价实施</w:t>
      </w:r>
      <w:r>
        <w:rPr>
          <w:sz w:val="28"/>
          <w:szCs w:val="28"/>
        </w:rPr>
        <w:tab/>
      </w:r>
      <w:r>
        <w:rPr>
          <w:sz w:val="28"/>
          <w:szCs w:val="28"/>
        </w:rPr>
        <w:fldChar w:fldCharType="begin"/>
      </w:r>
      <w:r>
        <w:rPr>
          <w:sz w:val="28"/>
          <w:szCs w:val="28"/>
        </w:rPr>
        <w:instrText xml:space="preserve"> PAGEREF _Toc19288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"_Toc10190" </w:instrText>
      </w:r>
      <w:r>
        <w:fldChar w:fldCharType="separate"/>
      </w:r>
      <w:r>
        <w:rPr>
          <w:rFonts w:hint="eastAsia" w:ascii="宋体" w:hAnsi="宋体" w:cs="宋体"/>
          <w:bCs/>
          <w:sz w:val="28"/>
          <w:szCs w:val="28"/>
        </w:rPr>
        <w:t>三、绩效评价分析</w:t>
      </w:r>
      <w:r>
        <w:rPr>
          <w:sz w:val="28"/>
          <w:szCs w:val="28"/>
        </w:rPr>
        <w:tab/>
      </w:r>
      <w:r>
        <w:rPr>
          <w:sz w:val="28"/>
          <w:szCs w:val="28"/>
        </w:rPr>
        <w:fldChar w:fldCharType="begin"/>
      </w:r>
      <w:r>
        <w:rPr>
          <w:sz w:val="28"/>
          <w:szCs w:val="28"/>
        </w:rPr>
        <w:instrText xml:space="preserve"> PAGEREF _Toc10190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"_Toc7629" </w:instrText>
      </w:r>
      <w:r>
        <w:fldChar w:fldCharType="separate"/>
      </w:r>
      <w:r>
        <w:rPr>
          <w:rFonts w:hint="eastAsia" w:ascii="宋体" w:hAnsi="宋体" w:cs="宋体"/>
          <w:sz w:val="28"/>
          <w:szCs w:val="28"/>
        </w:rPr>
        <w:t>（一）绩效评价结果</w:t>
      </w:r>
      <w:r>
        <w:rPr>
          <w:sz w:val="28"/>
          <w:szCs w:val="28"/>
        </w:rPr>
        <w:tab/>
      </w:r>
      <w:r>
        <w:rPr>
          <w:sz w:val="28"/>
          <w:szCs w:val="28"/>
        </w:rPr>
        <w:fldChar w:fldCharType="begin"/>
      </w:r>
      <w:r>
        <w:rPr>
          <w:sz w:val="28"/>
          <w:szCs w:val="28"/>
        </w:rPr>
        <w:instrText xml:space="preserve"> PAGEREF _Toc7629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"_Toc29984" </w:instrText>
      </w:r>
      <w:r>
        <w:fldChar w:fldCharType="separate"/>
      </w:r>
      <w:r>
        <w:rPr>
          <w:rFonts w:hint="eastAsia" w:ascii="宋体" w:hAnsi="宋体" w:cs="宋体"/>
          <w:sz w:val="28"/>
          <w:szCs w:val="28"/>
        </w:rPr>
        <w:t>（二）目标完成情况评价</w:t>
      </w:r>
      <w:r>
        <w:rPr>
          <w:sz w:val="28"/>
          <w:szCs w:val="28"/>
        </w:rPr>
        <w:tab/>
      </w:r>
      <w:r>
        <w:rPr>
          <w:sz w:val="28"/>
          <w:szCs w:val="28"/>
        </w:rPr>
        <w:fldChar w:fldCharType="begin"/>
      </w:r>
      <w:r>
        <w:rPr>
          <w:sz w:val="28"/>
          <w:szCs w:val="28"/>
        </w:rPr>
        <w:instrText xml:space="preserve"> PAGEREF _Toc29984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"_Toc28903" </w:instrText>
      </w:r>
      <w:r>
        <w:fldChar w:fldCharType="separate"/>
      </w:r>
      <w:r>
        <w:rPr>
          <w:rFonts w:hint="eastAsia" w:ascii="宋体" w:hAnsi="宋体" w:cs="宋体"/>
          <w:bCs/>
          <w:sz w:val="28"/>
          <w:szCs w:val="28"/>
        </w:rPr>
        <w:t>四、存在问题及建议</w:t>
      </w:r>
      <w:r>
        <w:rPr>
          <w:sz w:val="28"/>
          <w:szCs w:val="28"/>
        </w:rPr>
        <w:tab/>
      </w:r>
      <w:r>
        <w:rPr>
          <w:sz w:val="28"/>
          <w:szCs w:val="28"/>
        </w:rPr>
        <w:fldChar w:fldCharType="begin"/>
      </w:r>
      <w:r>
        <w:rPr>
          <w:sz w:val="28"/>
          <w:szCs w:val="28"/>
        </w:rPr>
        <w:instrText xml:space="preserve"> PAGEREF _Toc28903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"_Toc12094" </w:instrText>
      </w:r>
      <w:r>
        <w:fldChar w:fldCharType="separate"/>
      </w:r>
      <w:r>
        <w:rPr>
          <w:rFonts w:hint="eastAsia" w:ascii="宋体" w:hAnsi="宋体" w:cs="宋体"/>
          <w:sz w:val="28"/>
          <w:szCs w:val="28"/>
        </w:rPr>
        <w:t>附件一：绩效评价指标评分表</w:t>
      </w:r>
      <w:r>
        <w:rPr>
          <w:sz w:val="28"/>
          <w:szCs w:val="28"/>
        </w:rPr>
        <w:tab/>
      </w:r>
      <w:r>
        <w:rPr>
          <w:sz w:val="28"/>
          <w:szCs w:val="28"/>
        </w:rPr>
        <w:fldChar w:fldCharType="begin"/>
      </w:r>
      <w:r>
        <w:rPr>
          <w:sz w:val="28"/>
          <w:szCs w:val="28"/>
        </w:rPr>
        <w:instrText xml:space="preserve"> PAGEREF _Toc12094 </w:instrText>
      </w:r>
      <w:r>
        <w:rPr>
          <w:sz w:val="28"/>
          <w:szCs w:val="28"/>
        </w:rPr>
        <w:fldChar w:fldCharType="separate"/>
      </w:r>
      <w:r>
        <w:rPr>
          <w:sz w:val="28"/>
          <w:szCs w:val="28"/>
        </w:rPr>
        <w:t>4</w:t>
      </w:r>
      <w:r>
        <w:rPr>
          <w:sz w:val="28"/>
          <w:szCs w:val="28"/>
        </w:rPr>
        <w:fldChar w:fldCharType="end"/>
      </w:r>
      <w:r>
        <w:rPr>
          <w:sz w:val="28"/>
          <w:szCs w:val="28"/>
        </w:rPr>
        <w:fldChar w:fldCharType="end"/>
      </w:r>
    </w:p>
    <w:p>
      <w:pPr>
        <w:spacing w:afterLines="100" w:line="360" w:lineRule="auto"/>
        <w:jc w:val="center"/>
        <w:rPr>
          <w:rFonts w:ascii="宋体" w:cs="宋体"/>
          <w:sz w:val="28"/>
          <w:szCs w:val="28"/>
        </w:rPr>
      </w:pPr>
      <w:r>
        <w:rPr>
          <w:rFonts w:ascii="宋体" w:hAnsi="宋体" w:cs="宋体"/>
          <w:sz w:val="28"/>
          <w:szCs w:val="28"/>
        </w:rPr>
        <w:fldChar w:fldCharType="end"/>
      </w: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jc w:val="center"/>
        <w:rPr>
          <w:rFonts w:ascii="宋体" w:cs="宋体"/>
          <w:b/>
          <w:spacing w:val="-20"/>
          <w:sz w:val="28"/>
          <w:szCs w:val="28"/>
        </w:rPr>
      </w:pPr>
      <w:r>
        <w:rPr>
          <w:rFonts w:hint="eastAsia" w:ascii="宋体" w:hAnsi="宋体" w:cs="宋体"/>
          <w:b/>
          <w:spacing w:val="-20"/>
          <w:sz w:val="28"/>
          <w:szCs w:val="28"/>
        </w:rPr>
        <w:t>本次绩效评价结果</w:t>
      </w:r>
    </w:p>
    <w:tbl>
      <w:tblPr>
        <w:tblStyle w:val="11"/>
        <w:tblpPr w:leftFromText="180" w:rightFromText="180" w:vertAnchor="text" w:tblpY="44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5"/>
        <w:gridCol w:w="3012"/>
        <w:gridCol w:w="2051"/>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2275" w:type="dxa"/>
          </w:tcPr>
          <w:p>
            <w:pPr>
              <w:jc w:val="center"/>
              <w:rPr>
                <w:rFonts w:ascii="宋体" w:cs="宋体"/>
                <w:spacing w:val="-20"/>
                <w:sz w:val="24"/>
              </w:rPr>
            </w:pPr>
            <w:r>
              <w:rPr>
                <w:rFonts w:hint="eastAsia" w:ascii="宋体" w:hAnsi="宋体" w:cs="宋体"/>
                <w:spacing w:val="-20"/>
                <w:sz w:val="24"/>
              </w:rPr>
              <w:t>指标</w:t>
            </w:r>
          </w:p>
        </w:tc>
        <w:tc>
          <w:tcPr>
            <w:tcW w:w="3012" w:type="dxa"/>
          </w:tcPr>
          <w:p>
            <w:pPr>
              <w:jc w:val="center"/>
              <w:rPr>
                <w:rFonts w:ascii="宋体" w:cs="宋体"/>
                <w:spacing w:val="-20"/>
                <w:sz w:val="24"/>
              </w:rPr>
            </w:pPr>
            <w:r>
              <w:rPr>
                <w:rFonts w:hint="eastAsia" w:ascii="宋体" w:hAnsi="宋体" w:cs="宋体"/>
                <w:spacing w:val="-20"/>
                <w:sz w:val="24"/>
              </w:rPr>
              <w:t>指标分值</w:t>
            </w:r>
          </w:p>
        </w:tc>
        <w:tc>
          <w:tcPr>
            <w:tcW w:w="2051" w:type="dxa"/>
          </w:tcPr>
          <w:p>
            <w:pPr>
              <w:jc w:val="center"/>
              <w:rPr>
                <w:rFonts w:ascii="宋体" w:cs="宋体"/>
                <w:spacing w:val="-20"/>
                <w:sz w:val="24"/>
              </w:rPr>
            </w:pPr>
            <w:r>
              <w:rPr>
                <w:rFonts w:hint="eastAsia" w:ascii="宋体" w:hAnsi="宋体" w:cs="宋体"/>
                <w:spacing w:val="-20"/>
                <w:sz w:val="24"/>
              </w:rPr>
              <w:t>实际得分</w:t>
            </w:r>
          </w:p>
        </w:tc>
        <w:tc>
          <w:tcPr>
            <w:tcW w:w="1275" w:type="dxa"/>
          </w:tcPr>
          <w:p>
            <w:pPr>
              <w:jc w:val="center"/>
              <w:rPr>
                <w:rFonts w:ascii="宋体" w:cs="宋体"/>
                <w:spacing w:val="-20"/>
                <w:sz w:val="24"/>
              </w:rPr>
            </w:pPr>
            <w:r>
              <w:rPr>
                <w:rFonts w:hint="eastAsia" w:ascii="宋体" w:hAnsi="宋体" w:cs="宋体"/>
                <w:spacing w:val="-2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资金投入指标</w:t>
            </w:r>
          </w:p>
        </w:tc>
        <w:tc>
          <w:tcPr>
            <w:tcW w:w="3012" w:type="dxa"/>
          </w:tcPr>
          <w:p>
            <w:pPr>
              <w:jc w:val="center"/>
              <w:rPr>
                <w:rFonts w:ascii="宋体" w:hAnsi="宋体" w:cs="宋体"/>
                <w:spacing w:val="-20"/>
                <w:sz w:val="24"/>
              </w:rPr>
            </w:pPr>
            <w:r>
              <w:rPr>
                <w:rFonts w:ascii="宋体" w:hAnsi="宋体" w:cs="宋体"/>
                <w:spacing w:val="-20"/>
                <w:sz w:val="24"/>
              </w:rPr>
              <w:t>10</w:t>
            </w:r>
          </w:p>
        </w:tc>
        <w:tc>
          <w:tcPr>
            <w:tcW w:w="2051" w:type="dxa"/>
          </w:tcPr>
          <w:p>
            <w:pPr>
              <w:jc w:val="center"/>
              <w:rPr>
                <w:rFonts w:ascii="宋体" w:hAnsi="宋体" w:cs="宋体"/>
                <w:spacing w:val="-20"/>
                <w:sz w:val="24"/>
              </w:rPr>
            </w:pPr>
            <w:r>
              <w:rPr>
                <w:rFonts w:ascii="宋体" w:hAnsi="宋体" w:cs="宋体"/>
                <w:spacing w:val="-20"/>
                <w:sz w:val="24"/>
              </w:rPr>
              <w:t>10</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过程指标</w:t>
            </w:r>
          </w:p>
        </w:tc>
        <w:tc>
          <w:tcPr>
            <w:tcW w:w="3012" w:type="dxa"/>
          </w:tcPr>
          <w:p>
            <w:pPr>
              <w:jc w:val="center"/>
              <w:rPr>
                <w:rFonts w:ascii="宋体" w:hAnsi="宋体" w:cs="宋体"/>
                <w:spacing w:val="-20"/>
                <w:sz w:val="24"/>
              </w:rPr>
            </w:pPr>
            <w:r>
              <w:rPr>
                <w:rFonts w:ascii="宋体" w:hAnsi="宋体" w:cs="宋体"/>
                <w:spacing w:val="-20"/>
                <w:sz w:val="24"/>
              </w:rPr>
              <w:t>20</w:t>
            </w:r>
          </w:p>
        </w:tc>
        <w:tc>
          <w:tcPr>
            <w:tcW w:w="2051" w:type="dxa"/>
          </w:tcPr>
          <w:p>
            <w:pPr>
              <w:jc w:val="center"/>
              <w:rPr>
                <w:rFonts w:ascii="宋体" w:hAnsi="宋体" w:cs="宋体"/>
                <w:spacing w:val="-20"/>
                <w:sz w:val="24"/>
              </w:rPr>
            </w:pPr>
            <w:r>
              <w:rPr>
                <w:rFonts w:ascii="宋体" w:hAnsi="宋体" w:cs="宋体"/>
                <w:spacing w:val="-20"/>
                <w:sz w:val="24"/>
              </w:rPr>
              <w:t>15</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产出指标</w:t>
            </w:r>
          </w:p>
        </w:tc>
        <w:tc>
          <w:tcPr>
            <w:tcW w:w="3012" w:type="dxa"/>
          </w:tcPr>
          <w:p>
            <w:pPr>
              <w:jc w:val="center"/>
              <w:rPr>
                <w:rFonts w:ascii="宋体" w:hAnsi="宋体" w:cs="宋体"/>
                <w:spacing w:val="-20"/>
                <w:sz w:val="24"/>
              </w:rPr>
            </w:pPr>
            <w:r>
              <w:rPr>
                <w:rFonts w:ascii="宋体" w:hAnsi="宋体" w:cs="宋体"/>
                <w:spacing w:val="-20"/>
                <w:sz w:val="24"/>
              </w:rPr>
              <w:t>30</w:t>
            </w:r>
          </w:p>
        </w:tc>
        <w:tc>
          <w:tcPr>
            <w:tcW w:w="2051" w:type="dxa"/>
          </w:tcPr>
          <w:p>
            <w:pPr>
              <w:jc w:val="center"/>
              <w:rPr>
                <w:rFonts w:ascii="宋体" w:hAnsi="宋体" w:cs="宋体"/>
                <w:spacing w:val="-20"/>
                <w:sz w:val="24"/>
              </w:rPr>
            </w:pPr>
            <w:r>
              <w:rPr>
                <w:rFonts w:ascii="宋体" w:hAnsi="宋体" w:cs="宋体"/>
                <w:spacing w:val="-20"/>
                <w:sz w:val="24"/>
              </w:rPr>
              <w:t>28</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效益指标</w:t>
            </w:r>
          </w:p>
        </w:tc>
        <w:tc>
          <w:tcPr>
            <w:tcW w:w="3012" w:type="dxa"/>
          </w:tcPr>
          <w:p>
            <w:pPr>
              <w:jc w:val="center"/>
              <w:rPr>
                <w:rFonts w:ascii="宋体" w:hAnsi="宋体" w:cs="宋体"/>
                <w:spacing w:val="-20"/>
                <w:sz w:val="24"/>
              </w:rPr>
            </w:pPr>
            <w:r>
              <w:rPr>
                <w:rFonts w:ascii="宋体" w:hAnsi="宋体" w:cs="宋体"/>
                <w:spacing w:val="-20"/>
                <w:sz w:val="24"/>
              </w:rPr>
              <w:t>30</w:t>
            </w:r>
          </w:p>
        </w:tc>
        <w:tc>
          <w:tcPr>
            <w:tcW w:w="2051" w:type="dxa"/>
          </w:tcPr>
          <w:p>
            <w:pPr>
              <w:jc w:val="center"/>
              <w:rPr>
                <w:rFonts w:ascii="宋体" w:hAnsi="宋体" w:cs="宋体"/>
                <w:spacing w:val="-20"/>
                <w:sz w:val="24"/>
              </w:rPr>
            </w:pPr>
            <w:r>
              <w:rPr>
                <w:rFonts w:ascii="宋体" w:hAnsi="宋体" w:cs="宋体"/>
                <w:spacing w:val="-20"/>
                <w:sz w:val="24"/>
              </w:rPr>
              <w:t>28</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满意度指标</w:t>
            </w:r>
          </w:p>
        </w:tc>
        <w:tc>
          <w:tcPr>
            <w:tcW w:w="3012" w:type="dxa"/>
          </w:tcPr>
          <w:p>
            <w:pPr>
              <w:jc w:val="center"/>
              <w:rPr>
                <w:rFonts w:ascii="宋体" w:hAnsi="宋体" w:cs="宋体"/>
                <w:spacing w:val="-20"/>
                <w:sz w:val="24"/>
              </w:rPr>
            </w:pPr>
            <w:r>
              <w:rPr>
                <w:rFonts w:ascii="宋体" w:hAnsi="宋体" w:cs="宋体"/>
                <w:spacing w:val="-20"/>
                <w:sz w:val="24"/>
              </w:rPr>
              <w:t>10</w:t>
            </w:r>
          </w:p>
        </w:tc>
        <w:tc>
          <w:tcPr>
            <w:tcW w:w="2051" w:type="dxa"/>
          </w:tcPr>
          <w:p>
            <w:pPr>
              <w:jc w:val="center"/>
              <w:rPr>
                <w:rFonts w:ascii="宋体" w:hAnsi="宋体" w:cs="宋体"/>
                <w:spacing w:val="-20"/>
                <w:sz w:val="24"/>
              </w:rPr>
            </w:pPr>
            <w:r>
              <w:rPr>
                <w:rFonts w:ascii="宋体" w:hAnsi="宋体" w:cs="宋体"/>
                <w:spacing w:val="-20"/>
                <w:sz w:val="24"/>
              </w:rPr>
              <w:t>7</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275" w:type="dxa"/>
          </w:tcPr>
          <w:p>
            <w:pPr>
              <w:jc w:val="center"/>
              <w:rPr>
                <w:rFonts w:ascii="宋体" w:cs="宋体"/>
                <w:spacing w:val="-20"/>
                <w:sz w:val="24"/>
              </w:rPr>
            </w:pPr>
            <w:r>
              <w:rPr>
                <w:rFonts w:hint="eastAsia" w:ascii="宋体" w:hAnsi="宋体" w:cs="宋体"/>
                <w:spacing w:val="-20"/>
                <w:sz w:val="24"/>
              </w:rPr>
              <w:t>项目总分</w:t>
            </w:r>
          </w:p>
        </w:tc>
        <w:tc>
          <w:tcPr>
            <w:tcW w:w="3012" w:type="dxa"/>
          </w:tcPr>
          <w:p>
            <w:pPr>
              <w:jc w:val="center"/>
              <w:rPr>
                <w:rFonts w:ascii="宋体" w:hAnsi="宋体" w:cs="宋体"/>
                <w:spacing w:val="-20"/>
                <w:sz w:val="24"/>
              </w:rPr>
            </w:pPr>
            <w:r>
              <w:rPr>
                <w:rFonts w:ascii="宋体" w:hAnsi="宋体" w:cs="宋体"/>
                <w:spacing w:val="-20"/>
                <w:sz w:val="24"/>
              </w:rPr>
              <w:t>100</w:t>
            </w:r>
          </w:p>
        </w:tc>
        <w:tc>
          <w:tcPr>
            <w:tcW w:w="2051" w:type="dxa"/>
          </w:tcPr>
          <w:p>
            <w:pPr>
              <w:jc w:val="center"/>
              <w:rPr>
                <w:rFonts w:ascii="宋体" w:hAnsi="宋体" w:cs="宋体"/>
                <w:spacing w:val="-20"/>
                <w:sz w:val="24"/>
              </w:rPr>
            </w:pPr>
            <w:r>
              <w:rPr>
                <w:rFonts w:ascii="宋体" w:hAnsi="宋体" w:cs="宋体"/>
                <w:spacing w:val="-20"/>
                <w:sz w:val="24"/>
              </w:rPr>
              <w:t>88</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275" w:type="dxa"/>
          </w:tcPr>
          <w:p>
            <w:pPr>
              <w:jc w:val="center"/>
              <w:rPr>
                <w:rFonts w:ascii="宋体" w:cs="宋体"/>
                <w:spacing w:val="-20"/>
                <w:sz w:val="24"/>
              </w:rPr>
            </w:pPr>
            <w:r>
              <w:rPr>
                <w:rFonts w:hint="eastAsia" w:ascii="宋体" w:hAnsi="宋体" w:cs="宋体"/>
                <w:spacing w:val="-20"/>
                <w:sz w:val="24"/>
              </w:rPr>
              <w:t>综合评价结果</w:t>
            </w:r>
          </w:p>
        </w:tc>
        <w:tc>
          <w:tcPr>
            <w:tcW w:w="6338" w:type="dxa"/>
            <w:gridSpan w:val="3"/>
          </w:tcPr>
          <w:p>
            <w:pPr>
              <w:jc w:val="center"/>
              <w:rPr>
                <w:rFonts w:ascii="宋体" w:cs="宋体"/>
                <w:spacing w:val="-20"/>
                <w:sz w:val="24"/>
              </w:rPr>
            </w:pPr>
            <w:r>
              <w:rPr>
                <w:rFonts w:hint="eastAsia" w:ascii="宋体" w:hAnsi="宋体" w:cs="宋体"/>
                <w:b/>
                <w:spacing w:val="-20"/>
                <w:sz w:val="24"/>
              </w:rPr>
              <w:t>良</w:t>
            </w:r>
          </w:p>
        </w:tc>
      </w:tr>
    </w:tbl>
    <w:p>
      <w:pPr>
        <w:spacing w:afterLines="100" w:line="360" w:lineRule="auto"/>
        <w:jc w:val="left"/>
        <w:rPr>
          <w:rFonts w:ascii="宋体" w:cs="宋体"/>
          <w:sz w:val="24"/>
        </w:rPr>
      </w:pPr>
    </w:p>
    <w:p>
      <w:pPr>
        <w:spacing w:afterLines="100" w:line="360" w:lineRule="auto"/>
        <w:jc w:val="left"/>
        <w:rPr>
          <w:rFonts w:ascii="宋体" w:cs="宋体"/>
          <w:sz w:val="24"/>
        </w:rPr>
      </w:pPr>
      <w:r>
        <w:rPr>
          <w:rFonts w:hint="eastAsia" w:ascii="宋体" w:hAnsi="宋体" w:cs="宋体"/>
          <w:sz w:val="28"/>
          <w:szCs w:val="28"/>
        </w:rPr>
        <w:t>湖口县水利局农村贫困户改水项目绩效评价小组成员名单</w:t>
      </w:r>
      <w:r>
        <w:rPr>
          <w:rFonts w:hint="eastAsia" w:ascii="宋体" w:hAnsi="宋体" w:cs="宋体"/>
          <w:sz w:val="24"/>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6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524" w:type="dxa"/>
            <w:vAlign w:val="center"/>
          </w:tcPr>
          <w:p>
            <w:pPr>
              <w:spacing w:afterLines="100" w:line="360" w:lineRule="auto"/>
              <w:jc w:val="center"/>
              <w:rPr>
                <w:rFonts w:ascii="宋体" w:cs="宋体"/>
                <w:sz w:val="24"/>
              </w:rPr>
            </w:pPr>
            <w:r>
              <w:rPr>
                <w:rFonts w:hint="eastAsia" w:ascii="宋体" w:hAnsi="宋体" w:cs="宋体"/>
                <w:sz w:val="24"/>
              </w:rPr>
              <w:t>带队领导</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王敏英（湖口县财政监督局局长）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4" w:type="dxa"/>
            <w:vAlign w:val="center"/>
          </w:tcPr>
          <w:p>
            <w:pPr>
              <w:spacing w:afterLines="100" w:line="360" w:lineRule="auto"/>
              <w:jc w:val="center"/>
              <w:rPr>
                <w:rFonts w:ascii="宋体" w:cs="宋体"/>
                <w:sz w:val="24"/>
              </w:rPr>
            </w:pPr>
            <w:r>
              <w:rPr>
                <w:rFonts w:hint="eastAsia" w:ascii="宋体" w:hAnsi="宋体" w:cs="宋体"/>
                <w:sz w:val="24"/>
              </w:rPr>
              <w:t>组</w:t>
            </w:r>
            <w:r>
              <w:rPr>
                <w:rFonts w:ascii="宋体" w:hAnsi="宋体" w:cs="宋体"/>
                <w:sz w:val="24"/>
              </w:rPr>
              <w:t xml:space="preserve">   </w:t>
            </w:r>
            <w:r>
              <w:rPr>
                <w:rFonts w:hint="eastAsia" w:ascii="宋体" w:hAnsi="宋体" w:cs="宋体"/>
                <w:sz w:val="24"/>
              </w:rPr>
              <w:t>长</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许小靖（湖口县财政局绩效评价股股长）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4" w:type="dxa"/>
            <w:vAlign w:val="center"/>
          </w:tcPr>
          <w:p>
            <w:pPr>
              <w:spacing w:afterLines="100" w:line="360" w:lineRule="auto"/>
              <w:jc w:val="center"/>
              <w:rPr>
                <w:rFonts w:ascii="宋体" w:cs="宋体"/>
                <w:sz w:val="24"/>
              </w:rPr>
            </w:pPr>
            <w:r>
              <w:rPr>
                <w:rFonts w:hint="eastAsia" w:ascii="宋体" w:hAnsi="宋体" w:cs="宋体"/>
                <w:sz w:val="24"/>
              </w:rPr>
              <w:t>成</w:t>
            </w:r>
            <w:r>
              <w:rPr>
                <w:rFonts w:ascii="宋体" w:hAnsi="宋体" w:cs="宋体"/>
                <w:sz w:val="24"/>
              </w:rPr>
              <w:t xml:space="preserve">   </w:t>
            </w:r>
            <w:r>
              <w:rPr>
                <w:rFonts w:hint="eastAsia" w:ascii="宋体" w:hAnsi="宋体" w:cs="宋体"/>
                <w:sz w:val="24"/>
              </w:rPr>
              <w:t>员</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余春华（湖口县财政局农财股股长）</w:t>
            </w:r>
          </w:p>
          <w:p>
            <w:pPr>
              <w:spacing w:afterLines="100" w:line="360" w:lineRule="auto"/>
              <w:jc w:val="center"/>
              <w:rPr>
                <w:rFonts w:ascii="宋体" w:cs="宋体"/>
                <w:sz w:val="24"/>
              </w:rPr>
            </w:pPr>
            <w:r>
              <w:rPr>
                <w:rFonts w:hint="eastAsia" w:ascii="宋体" w:hAnsi="宋体" w:cs="宋体"/>
                <w:sz w:val="24"/>
              </w:rPr>
              <w:t>吴雨波、周凯宏、卢江平（九江钟山会计师事务所）</w:t>
            </w:r>
          </w:p>
        </w:tc>
      </w:tr>
    </w:tbl>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b/>
          <w:bCs/>
          <w:kern w:val="0"/>
          <w:sz w:val="36"/>
          <w:szCs w:val="36"/>
        </w:rPr>
      </w:pPr>
      <w:r>
        <w:rPr>
          <w:rFonts w:hint="eastAsia" w:ascii="宋体" w:hAnsi="宋体" w:cs="宋体"/>
          <w:b/>
          <w:bCs/>
          <w:kern w:val="0"/>
          <w:sz w:val="36"/>
          <w:szCs w:val="36"/>
        </w:rPr>
        <w:t>湖口县水利局农村贫困户改水项目</w:t>
      </w:r>
    </w:p>
    <w:p>
      <w:pPr>
        <w:pStyle w:val="8"/>
        <w:spacing w:line="560" w:lineRule="exact"/>
        <w:ind w:firstLine="0" w:firstLineChars="0"/>
        <w:jc w:val="center"/>
        <w:rPr>
          <w:rFonts w:ascii="宋体" w:hAnsi="宋体" w:eastAsia="宋体" w:cs="宋体"/>
          <w:b/>
          <w:bCs w:val="0"/>
          <w:kern w:val="0"/>
          <w:sz w:val="36"/>
          <w:szCs w:val="36"/>
        </w:rPr>
      </w:pPr>
      <w:r>
        <w:rPr>
          <w:rFonts w:ascii="宋体" w:hAnsi="宋体" w:eastAsia="宋体" w:cs="宋体"/>
          <w:b/>
          <w:kern w:val="0"/>
          <w:sz w:val="36"/>
          <w:szCs w:val="36"/>
        </w:rPr>
        <w:t>2019</w:t>
      </w:r>
      <w:r>
        <w:rPr>
          <w:rFonts w:hint="eastAsia" w:ascii="宋体" w:hAnsi="宋体" w:eastAsia="宋体" w:cs="宋体"/>
          <w:b/>
          <w:kern w:val="0"/>
          <w:sz w:val="36"/>
          <w:szCs w:val="36"/>
        </w:rPr>
        <w:t>年度</w:t>
      </w:r>
      <w:r>
        <w:rPr>
          <w:rFonts w:hint="eastAsia" w:ascii="宋体" w:hAnsi="宋体" w:eastAsia="宋体" w:cs="宋体"/>
          <w:b/>
          <w:bCs w:val="0"/>
          <w:kern w:val="0"/>
          <w:sz w:val="36"/>
          <w:szCs w:val="36"/>
        </w:rPr>
        <w:t>绩效评价报告</w:t>
      </w:r>
      <w:bookmarkEnd w:id="0"/>
      <w:bookmarkEnd w:id="1"/>
      <w:bookmarkEnd w:id="2"/>
      <w:bookmarkEnd w:id="3"/>
      <w:bookmarkEnd w:id="4"/>
    </w:p>
    <w:p/>
    <w:bookmarkEnd w:id="5"/>
    <w:p>
      <w:pPr>
        <w:spacing w:line="560" w:lineRule="exact"/>
        <w:ind w:firstLine="560" w:firstLineChars="200"/>
        <w:rPr>
          <w:rFonts w:ascii="宋体" w:cs="宋体"/>
          <w:bCs/>
          <w:sz w:val="28"/>
          <w:szCs w:val="28"/>
        </w:rPr>
      </w:pPr>
      <w:r>
        <w:rPr>
          <w:rFonts w:hint="eastAsia" w:ascii="宋体" w:hAnsi="宋体" w:cs="宋体"/>
          <w:bCs/>
          <w:sz w:val="28"/>
          <w:szCs w:val="28"/>
        </w:rPr>
        <w:t>为加强财政资金的跟踪问效管理，强化支出责任，切实提高资金使用效益，建立科学、合理的财政支出绩效评价管理体系；根据《中华人民共和国预算法》、《中共江西省委</w:t>
      </w:r>
      <w:r>
        <w:rPr>
          <w:rFonts w:ascii="宋体" w:hAnsi="宋体" w:cs="宋体"/>
          <w:bCs/>
          <w:sz w:val="28"/>
          <w:szCs w:val="28"/>
        </w:rPr>
        <w:t xml:space="preserve"> </w:t>
      </w:r>
      <w:r>
        <w:rPr>
          <w:rFonts w:hint="eastAsia" w:ascii="宋体" w:hAnsi="宋体" w:cs="宋体"/>
          <w:bCs/>
          <w:sz w:val="28"/>
          <w:szCs w:val="28"/>
        </w:rPr>
        <w:t>江西省人民政府关于全面实施预算绩效管理的实施意见》（赣府发</w:t>
      </w:r>
      <w:r>
        <w:rPr>
          <w:rFonts w:ascii="宋体" w:hAnsi="宋体" w:cs="宋体"/>
          <w:bCs/>
          <w:sz w:val="28"/>
          <w:szCs w:val="28"/>
        </w:rPr>
        <w:t>[2019]8</w:t>
      </w:r>
      <w:r>
        <w:rPr>
          <w:rFonts w:hint="eastAsia" w:ascii="宋体" w:hAnsi="宋体" w:cs="宋体"/>
          <w:bCs/>
          <w:sz w:val="28"/>
          <w:szCs w:val="28"/>
        </w:rPr>
        <w:t>号）文件精神，《湖口县财政局关于开展</w:t>
      </w:r>
      <w:r>
        <w:rPr>
          <w:rFonts w:ascii="宋体" w:hAnsi="宋体" w:cs="宋体"/>
          <w:bCs/>
          <w:sz w:val="28"/>
          <w:szCs w:val="28"/>
        </w:rPr>
        <w:t>2019</w:t>
      </w:r>
      <w:r>
        <w:rPr>
          <w:rFonts w:hint="eastAsia" w:ascii="宋体" w:hAnsi="宋体" w:cs="宋体"/>
          <w:bCs/>
          <w:sz w:val="28"/>
          <w:szCs w:val="28"/>
        </w:rPr>
        <w:t>年度县级专项资金（项目支出）财政重点绩效评价工作的通知》等文件要求，九江钟山会计师事务有限公司接受湖口县财政局委托，对湖口县水利局</w:t>
      </w:r>
      <w:r>
        <w:rPr>
          <w:rFonts w:ascii="宋体" w:hAnsi="宋体" w:cs="宋体"/>
          <w:bCs/>
          <w:sz w:val="28"/>
          <w:szCs w:val="28"/>
        </w:rPr>
        <w:t>2019</w:t>
      </w:r>
      <w:r>
        <w:rPr>
          <w:rFonts w:hint="eastAsia" w:ascii="宋体" w:hAnsi="宋体" w:cs="宋体"/>
          <w:bCs/>
          <w:sz w:val="28"/>
          <w:szCs w:val="28"/>
        </w:rPr>
        <w:t>年度农村贫困户改水项目开展了绩效评价工作。具体情况如下：</w:t>
      </w:r>
    </w:p>
    <w:p>
      <w:pPr>
        <w:rPr>
          <w:rFonts w:ascii="宋体" w:cs="宋体"/>
          <w:sz w:val="28"/>
          <w:szCs w:val="28"/>
        </w:rPr>
      </w:pPr>
    </w:p>
    <w:p>
      <w:pPr>
        <w:pStyle w:val="2"/>
        <w:rPr>
          <w:rFonts w:ascii="宋体" w:cs="宋体"/>
          <w:sz w:val="36"/>
          <w:szCs w:val="36"/>
        </w:rPr>
      </w:pPr>
      <w:bookmarkStart w:id="6" w:name="_Toc6452_WPSOffice_Level1"/>
      <w:bookmarkStart w:id="7" w:name="_Toc7701"/>
      <w:r>
        <w:rPr>
          <w:rFonts w:hint="eastAsia" w:ascii="宋体" w:hAnsi="宋体" w:cs="宋体"/>
          <w:sz w:val="36"/>
          <w:szCs w:val="36"/>
        </w:rPr>
        <w:t>一、项目基本情况</w:t>
      </w:r>
      <w:bookmarkEnd w:id="6"/>
      <w:bookmarkEnd w:id="7"/>
    </w:p>
    <w:p>
      <w:pPr>
        <w:pStyle w:val="3"/>
        <w:rPr>
          <w:rFonts w:ascii="宋体" w:hAnsi="宋体" w:eastAsia="宋体" w:cs="宋体"/>
          <w:sz w:val="30"/>
          <w:szCs w:val="30"/>
        </w:rPr>
      </w:pPr>
      <w:bookmarkStart w:id="8" w:name="_Toc6452_WPSOffice_Level2"/>
      <w:bookmarkStart w:id="9" w:name="_Toc26125"/>
      <w:r>
        <w:rPr>
          <w:rFonts w:hint="eastAsia" w:ascii="宋体" w:hAnsi="宋体" w:eastAsia="宋体" w:cs="宋体"/>
          <w:sz w:val="30"/>
          <w:szCs w:val="30"/>
        </w:rPr>
        <w:t>（一）</w:t>
      </w:r>
      <w:bookmarkEnd w:id="8"/>
      <w:r>
        <w:rPr>
          <w:rFonts w:hint="eastAsia" w:ascii="宋体" w:hAnsi="宋体" w:eastAsia="宋体" w:cs="宋体"/>
          <w:sz w:val="30"/>
          <w:szCs w:val="30"/>
        </w:rPr>
        <w:t>项目概况</w:t>
      </w:r>
      <w:bookmarkEnd w:id="9"/>
    </w:p>
    <w:p>
      <w:pPr>
        <w:spacing w:line="560" w:lineRule="exact"/>
        <w:ind w:firstLine="560" w:firstLineChars="200"/>
        <w:rPr>
          <w:rFonts w:ascii="宋体" w:cs="宋体"/>
          <w:bCs/>
          <w:sz w:val="28"/>
          <w:szCs w:val="28"/>
        </w:rPr>
      </w:pPr>
      <w:r>
        <w:rPr>
          <w:rFonts w:hint="eastAsia" w:ascii="宋体" w:hAnsi="宋体" w:cs="宋体"/>
          <w:bCs/>
          <w:sz w:val="28"/>
          <w:szCs w:val="28"/>
        </w:rPr>
        <w:t>为统筹城乡发展，扎实推进县脱贫攻坚工作；解决农村贫困户饮水安全问题，切实提高贫困户生活质量，改善农村环境。从而打赢脱贫攻坚战，落实‘两不愁、三保障’举措。湖口县</w:t>
      </w:r>
      <w:r>
        <w:rPr>
          <w:rFonts w:ascii="宋体" w:hAnsi="宋体" w:cs="宋体"/>
          <w:bCs/>
          <w:sz w:val="28"/>
          <w:szCs w:val="28"/>
        </w:rPr>
        <w:t>2019</w:t>
      </w:r>
      <w:r>
        <w:rPr>
          <w:rFonts w:hint="eastAsia" w:ascii="宋体" w:hAnsi="宋体" w:cs="宋体"/>
          <w:bCs/>
          <w:sz w:val="28"/>
          <w:szCs w:val="28"/>
        </w:rPr>
        <w:t>年初制定目标，年度完成全县</w:t>
      </w:r>
      <w:r>
        <w:rPr>
          <w:rFonts w:ascii="宋体" w:hAnsi="宋体" w:cs="宋体"/>
          <w:bCs/>
          <w:sz w:val="28"/>
          <w:szCs w:val="28"/>
        </w:rPr>
        <w:t>13</w:t>
      </w:r>
      <w:r>
        <w:rPr>
          <w:rFonts w:hint="eastAsia" w:ascii="宋体" w:hAnsi="宋体" w:cs="宋体"/>
          <w:bCs/>
          <w:sz w:val="28"/>
          <w:szCs w:val="28"/>
        </w:rPr>
        <w:t>个乡镇</w:t>
      </w:r>
      <w:r>
        <w:rPr>
          <w:rFonts w:ascii="宋体" w:hAnsi="宋体" w:cs="宋体"/>
          <w:bCs/>
          <w:sz w:val="28"/>
          <w:szCs w:val="28"/>
        </w:rPr>
        <w:t>496</w:t>
      </w:r>
      <w:r>
        <w:rPr>
          <w:rFonts w:hint="eastAsia" w:ascii="宋体" w:hAnsi="宋体" w:cs="宋体"/>
          <w:bCs/>
          <w:sz w:val="28"/>
          <w:szCs w:val="28"/>
        </w:rPr>
        <w:t>户农村贫困户饮水改造任务，项目按每户</w:t>
      </w:r>
      <w:r>
        <w:rPr>
          <w:rFonts w:ascii="宋体" w:hAnsi="宋体" w:cs="宋体"/>
          <w:bCs/>
          <w:sz w:val="28"/>
          <w:szCs w:val="28"/>
        </w:rPr>
        <w:t>2000</w:t>
      </w:r>
      <w:r>
        <w:rPr>
          <w:rFonts w:hint="eastAsia" w:ascii="宋体" w:hAnsi="宋体" w:cs="宋体"/>
          <w:bCs/>
          <w:sz w:val="28"/>
          <w:szCs w:val="28"/>
        </w:rPr>
        <w:t>元标准安排财政预算资金</w:t>
      </w:r>
      <w:r>
        <w:rPr>
          <w:rFonts w:ascii="宋体" w:hAnsi="宋体" w:cs="宋体"/>
          <w:bCs/>
          <w:sz w:val="28"/>
          <w:szCs w:val="28"/>
        </w:rPr>
        <w:t>99.2</w:t>
      </w:r>
      <w:r>
        <w:rPr>
          <w:rFonts w:hint="eastAsia" w:ascii="宋体" w:hAnsi="宋体" w:cs="宋体"/>
          <w:bCs/>
          <w:sz w:val="28"/>
          <w:szCs w:val="28"/>
        </w:rPr>
        <w:t>万元。具体明细如下：</w:t>
      </w:r>
    </w:p>
    <w:p>
      <w:pPr>
        <w:spacing w:line="560" w:lineRule="exact"/>
        <w:ind w:firstLine="560" w:firstLineChars="200"/>
        <w:rPr>
          <w:rFonts w:ascii="宋体" w:cs="宋体"/>
          <w:bCs/>
          <w:sz w:val="28"/>
          <w:szCs w:val="28"/>
        </w:rPr>
      </w:pPr>
      <w:r>
        <w:rPr>
          <w:rFonts w:ascii="宋体" w:hAnsi="宋体" w:cs="宋体"/>
          <w:bCs/>
          <w:sz w:val="28"/>
          <w:szCs w:val="28"/>
        </w:rPr>
        <w:t>2019</w:t>
      </w:r>
      <w:r>
        <w:rPr>
          <w:rFonts w:hint="eastAsia" w:ascii="宋体" w:hAnsi="宋体" w:cs="宋体"/>
          <w:bCs/>
          <w:sz w:val="28"/>
          <w:szCs w:val="28"/>
        </w:rPr>
        <w:t>年度湖口县农付贫困户改水任务统计表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乡镇</w:t>
            </w:r>
          </w:p>
        </w:tc>
        <w:tc>
          <w:tcPr>
            <w:tcW w:w="2130" w:type="dxa"/>
          </w:tcPr>
          <w:p>
            <w:pPr>
              <w:spacing w:line="560" w:lineRule="exact"/>
              <w:jc w:val="center"/>
              <w:rPr>
                <w:rFonts w:ascii="宋体" w:cs="宋体"/>
                <w:bCs/>
                <w:sz w:val="28"/>
                <w:szCs w:val="28"/>
              </w:rPr>
            </w:pPr>
            <w:r>
              <w:rPr>
                <w:rFonts w:hint="eastAsia" w:ascii="宋体" w:hAnsi="宋体" w:cs="宋体"/>
                <w:bCs/>
                <w:sz w:val="28"/>
                <w:szCs w:val="28"/>
              </w:rPr>
              <w:t>任务户数</w:t>
            </w:r>
          </w:p>
        </w:tc>
        <w:tc>
          <w:tcPr>
            <w:tcW w:w="2131" w:type="dxa"/>
          </w:tcPr>
          <w:p>
            <w:pPr>
              <w:spacing w:line="560" w:lineRule="exact"/>
              <w:jc w:val="center"/>
              <w:rPr>
                <w:rFonts w:ascii="宋体" w:cs="宋体"/>
                <w:bCs/>
                <w:sz w:val="28"/>
                <w:szCs w:val="28"/>
              </w:rPr>
            </w:pPr>
            <w:r>
              <w:rPr>
                <w:rFonts w:hint="eastAsia" w:ascii="宋体" w:hAnsi="宋体" w:cs="宋体"/>
                <w:bCs/>
                <w:sz w:val="28"/>
                <w:szCs w:val="28"/>
              </w:rPr>
              <w:t>预算资金（元）</w:t>
            </w:r>
          </w:p>
        </w:tc>
        <w:tc>
          <w:tcPr>
            <w:tcW w:w="2131" w:type="dxa"/>
          </w:tcPr>
          <w:p>
            <w:pPr>
              <w:spacing w:line="560" w:lineRule="exact"/>
              <w:jc w:val="center"/>
              <w:rPr>
                <w:rFonts w:ascii="宋体" w:cs="宋体"/>
                <w:bCs/>
                <w:sz w:val="28"/>
                <w:szCs w:val="28"/>
              </w:rPr>
            </w:pPr>
            <w:r>
              <w:rPr>
                <w:rFonts w:hint="eastAsia" w:ascii="宋体" w:hAnsi="宋体" w:cs="宋体"/>
                <w:bCs/>
                <w:sz w:val="28"/>
                <w:szCs w:val="28"/>
              </w:rPr>
              <w:t>验收完成户数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城山镇</w:t>
            </w:r>
          </w:p>
        </w:tc>
        <w:tc>
          <w:tcPr>
            <w:tcW w:w="2130" w:type="dxa"/>
          </w:tcPr>
          <w:p>
            <w:pPr>
              <w:spacing w:line="560" w:lineRule="exact"/>
              <w:jc w:val="center"/>
              <w:rPr>
                <w:rFonts w:ascii="宋体" w:cs="宋体"/>
                <w:bCs/>
                <w:sz w:val="28"/>
                <w:szCs w:val="28"/>
              </w:rPr>
            </w:pPr>
            <w:r>
              <w:rPr>
                <w:rFonts w:ascii="宋体" w:hAnsi="宋体" w:cs="宋体"/>
                <w:bCs/>
                <w:sz w:val="28"/>
                <w:szCs w:val="28"/>
              </w:rPr>
              <w:t>18</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36,000 </w:t>
            </w:r>
          </w:p>
        </w:tc>
        <w:tc>
          <w:tcPr>
            <w:tcW w:w="2131" w:type="dxa"/>
          </w:tcPr>
          <w:p>
            <w:pPr>
              <w:spacing w:line="560" w:lineRule="exact"/>
              <w:jc w:val="center"/>
              <w:rPr>
                <w:rFonts w:ascii="宋体" w:cs="宋体"/>
                <w:bCs/>
                <w:sz w:val="28"/>
                <w:szCs w:val="28"/>
              </w:rPr>
            </w:pPr>
            <w:r>
              <w:rPr>
                <w:rFonts w:ascii="宋体" w:hAnsi="宋体" w:cs="宋体"/>
                <w:bCs/>
                <w:sz w:val="28"/>
                <w:szCs w:val="2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付垅乡</w:t>
            </w:r>
          </w:p>
        </w:tc>
        <w:tc>
          <w:tcPr>
            <w:tcW w:w="2130" w:type="dxa"/>
          </w:tcPr>
          <w:p>
            <w:pPr>
              <w:spacing w:line="560" w:lineRule="exact"/>
              <w:jc w:val="center"/>
              <w:rPr>
                <w:rFonts w:ascii="宋体" w:cs="宋体"/>
                <w:bCs/>
                <w:sz w:val="28"/>
                <w:szCs w:val="28"/>
              </w:rPr>
            </w:pPr>
            <w:r>
              <w:rPr>
                <w:rFonts w:ascii="宋体" w:hAnsi="宋体" w:cs="宋体"/>
                <w:bCs/>
                <w:sz w:val="28"/>
                <w:szCs w:val="28"/>
              </w:rPr>
              <w:t>132</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264,000 </w:t>
            </w:r>
          </w:p>
        </w:tc>
        <w:tc>
          <w:tcPr>
            <w:tcW w:w="2131" w:type="dxa"/>
          </w:tcPr>
          <w:p>
            <w:pPr>
              <w:spacing w:line="560" w:lineRule="exact"/>
              <w:jc w:val="center"/>
              <w:rPr>
                <w:rFonts w:ascii="宋体" w:cs="宋体"/>
                <w:bCs/>
                <w:sz w:val="28"/>
                <w:szCs w:val="28"/>
              </w:rPr>
            </w:pPr>
            <w:r>
              <w:rPr>
                <w:rFonts w:ascii="宋体" w:hAnsi="宋体" w:cs="宋体"/>
                <w:bCs/>
                <w:sz w:val="28"/>
                <w:szCs w:val="28"/>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凰村乡</w:t>
            </w:r>
          </w:p>
        </w:tc>
        <w:tc>
          <w:tcPr>
            <w:tcW w:w="2130" w:type="dxa"/>
          </w:tcPr>
          <w:p>
            <w:pPr>
              <w:spacing w:line="560" w:lineRule="exact"/>
              <w:jc w:val="center"/>
              <w:rPr>
                <w:rFonts w:ascii="宋体" w:cs="宋体"/>
                <w:bCs/>
                <w:sz w:val="28"/>
                <w:szCs w:val="28"/>
              </w:rPr>
            </w:pPr>
            <w:r>
              <w:rPr>
                <w:rFonts w:ascii="宋体" w:hAnsi="宋体" w:cs="宋体"/>
                <w:bCs/>
                <w:sz w:val="28"/>
                <w:szCs w:val="28"/>
              </w:rPr>
              <w:t>19</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38,000 </w:t>
            </w:r>
          </w:p>
        </w:tc>
        <w:tc>
          <w:tcPr>
            <w:tcW w:w="2131" w:type="dxa"/>
          </w:tcPr>
          <w:p>
            <w:pPr>
              <w:spacing w:line="560" w:lineRule="exact"/>
              <w:jc w:val="center"/>
              <w:rPr>
                <w:rFonts w:ascii="宋体" w:cs="宋体"/>
                <w:bCs/>
                <w:sz w:val="28"/>
                <w:szCs w:val="28"/>
              </w:rPr>
            </w:pPr>
            <w:r>
              <w:rPr>
                <w:rFonts w:ascii="宋体" w:hAnsi="宋体" w:cs="宋体"/>
                <w:bCs/>
                <w:sz w:val="28"/>
                <w:szCs w:val="2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舜德乡</w:t>
            </w:r>
          </w:p>
        </w:tc>
        <w:tc>
          <w:tcPr>
            <w:tcW w:w="2130" w:type="dxa"/>
          </w:tcPr>
          <w:p>
            <w:pPr>
              <w:spacing w:line="560" w:lineRule="exact"/>
              <w:jc w:val="center"/>
              <w:rPr>
                <w:rFonts w:ascii="宋体" w:cs="宋体"/>
                <w:bCs/>
                <w:sz w:val="28"/>
                <w:szCs w:val="28"/>
              </w:rPr>
            </w:pPr>
            <w:r>
              <w:rPr>
                <w:rFonts w:ascii="宋体" w:hAnsi="宋体" w:cs="宋体"/>
                <w:bCs/>
                <w:sz w:val="28"/>
                <w:szCs w:val="28"/>
              </w:rPr>
              <w:t>10</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20,000 </w:t>
            </w:r>
          </w:p>
        </w:tc>
        <w:tc>
          <w:tcPr>
            <w:tcW w:w="2131" w:type="dxa"/>
          </w:tcPr>
          <w:p>
            <w:pPr>
              <w:spacing w:line="560" w:lineRule="exact"/>
              <w:jc w:val="center"/>
              <w:rPr>
                <w:rFonts w:ascii="宋体" w:cs="宋体"/>
                <w:bCs/>
                <w:sz w:val="28"/>
                <w:szCs w:val="28"/>
              </w:rPr>
            </w:pPr>
            <w:r>
              <w:rPr>
                <w:rFonts w:ascii="宋体" w:hAnsi="宋体" w:cs="宋体"/>
                <w:bCs/>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均桥镇</w:t>
            </w:r>
          </w:p>
        </w:tc>
        <w:tc>
          <w:tcPr>
            <w:tcW w:w="2130" w:type="dxa"/>
          </w:tcPr>
          <w:p>
            <w:pPr>
              <w:spacing w:line="560" w:lineRule="exact"/>
              <w:jc w:val="center"/>
              <w:rPr>
                <w:rFonts w:ascii="宋体" w:cs="宋体"/>
                <w:bCs/>
                <w:sz w:val="28"/>
                <w:szCs w:val="28"/>
              </w:rPr>
            </w:pPr>
            <w:r>
              <w:rPr>
                <w:rFonts w:ascii="宋体" w:hAnsi="宋体" w:cs="宋体"/>
                <w:bCs/>
                <w:sz w:val="28"/>
                <w:szCs w:val="28"/>
              </w:rPr>
              <w:t>133</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266,000 </w:t>
            </w:r>
          </w:p>
        </w:tc>
        <w:tc>
          <w:tcPr>
            <w:tcW w:w="2131" w:type="dxa"/>
          </w:tcPr>
          <w:p>
            <w:pPr>
              <w:spacing w:line="560" w:lineRule="exact"/>
              <w:jc w:val="center"/>
              <w:rPr>
                <w:rFonts w:ascii="宋体" w:cs="宋体"/>
                <w:bCs/>
                <w:sz w:val="28"/>
                <w:szCs w:val="28"/>
              </w:rPr>
            </w:pPr>
            <w:r>
              <w:rPr>
                <w:rFonts w:ascii="宋体" w:hAnsi="宋体" w:cs="宋体"/>
                <w:bCs/>
                <w:sz w:val="28"/>
                <w:szCs w:val="28"/>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流芳乡</w:t>
            </w:r>
          </w:p>
        </w:tc>
        <w:tc>
          <w:tcPr>
            <w:tcW w:w="2130" w:type="dxa"/>
          </w:tcPr>
          <w:p>
            <w:pPr>
              <w:spacing w:line="560" w:lineRule="exact"/>
              <w:jc w:val="center"/>
              <w:rPr>
                <w:rFonts w:ascii="宋体" w:cs="宋体"/>
                <w:bCs/>
                <w:sz w:val="28"/>
                <w:szCs w:val="28"/>
              </w:rPr>
            </w:pPr>
            <w:r>
              <w:rPr>
                <w:rFonts w:ascii="宋体" w:hAnsi="宋体" w:cs="宋体"/>
                <w:bCs/>
                <w:sz w:val="28"/>
                <w:szCs w:val="28"/>
              </w:rPr>
              <w:t>31</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62,000 </w:t>
            </w:r>
          </w:p>
        </w:tc>
        <w:tc>
          <w:tcPr>
            <w:tcW w:w="2131" w:type="dxa"/>
          </w:tcPr>
          <w:p>
            <w:pPr>
              <w:spacing w:line="560" w:lineRule="exact"/>
              <w:jc w:val="center"/>
              <w:rPr>
                <w:rFonts w:ascii="宋体" w:cs="宋体"/>
                <w:bCs/>
                <w:sz w:val="28"/>
                <w:szCs w:val="28"/>
              </w:rPr>
            </w:pPr>
            <w:r>
              <w:rPr>
                <w:rFonts w:ascii="宋体" w:hAnsi="宋体" w:cs="宋体"/>
                <w:bCs/>
                <w:sz w:val="28"/>
                <w:szCs w:val="28"/>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武山镇</w:t>
            </w:r>
          </w:p>
        </w:tc>
        <w:tc>
          <w:tcPr>
            <w:tcW w:w="2130" w:type="dxa"/>
          </w:tcPr>
          <w:p>
            <w:pPr>
              <w:spacing w:line="560" w:lineRule="exact"/>
              <w:jc w:val="center"/>
              <w:rPr>
                <w:rFonts w:ascii="宋体" w:cs="宋体"/>
                <w:bCs/>
                <w:sz w:val="28"/>
                <w:szCs w:val="28"/>
              </w:rPr>
            </w:pPr>
            <w:r>
              <w:rPr>
                <w:rFonts w:ascii="宋体" w:hAnsi="宋体" w:cs="宋体"/>
                <w:bCs/>
                <w:sz w:val="28"/>
                <w:szCs w:val="28"/>
              </w:rPr>
              <w:t>21</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42,000 </w:t>
            </w:r>
          </w:p>
        </w:tc>
        <w:tc>
          <w:tcPr>
            <w:tcW w:w="2131" w:type="dxa"/>
          </w:tcPr>
          <w:p>
            <w:pPr>
              <w:spacing w:line="560" w:lineRule="exact"/>
              <w:jc w:val="center"/>
              <w:rPr>
                <w:rFonts w:ascii="宋体" w:cs="宋体"/>
                <w:bCs/>
                <w:sz w:val="28"/>
                <w:szCs w:val="28"/>
              </w:rPr>
            </w:pPr>
            <w:r>
              <w:rPr>
                <w:rFonts w:ascii="宋体" w:hAnsi="宋体" w:cs="宋体"/>
                <w:bCs/>
                <w:sz w:val="28"/>
                <w:szCs w:val="2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张青乡</w:t>
            </w:r>
          </w:p>
        </w:tc>
        <w:tc>
          <w:tcPr>
            <w:tcW w:w="2130" w:type="dxa"/>
          </w:tcPr>
          <w:p>
            <w:pPr>
              <w:spacing w:line="560" w:lineRule="exact"/>
              <w:jc w:val="center"/>
              <w:rPr>
                <w:rFonts w:ascii="宋体" w:cs="宋体"/>
                <w:bCs/>
                <w:sz w:val="28"/>
                <w:szCs w:val="28"/>
              </w:rPr>
            </w:pPr>
            <w:r>
              <w:rPr>
                <w:rFonts w:ascii="宋体" w:hAnsi="宋体" w:cs="宋体"/>
                <w:bCs/>
                <w:sz w:val="28"/>
                <w:szCs w:val="28"/>
              </w:rPr>
              <w:t>10</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20,000 </w:t>
            </w:r>
          </w:p>
        </w:tc>
        <w:tc>
          <w:tcPr>
            <w:tcW w:w="2131" w:type="dxa"/>
          </w:tcPr>
          <w:p>
            <w:pPr>
              <w:spacing w:line="560" w:lineRule="exact"/>
              <w:jc w:val="center"/>
              <w:rPr>
                <w:rFonts w:ascii="宋体" w:cs="宋体"/>
                <w:bCs/>
                <w:sz w:val="28"/>
                <w:szCs w:val="28"/>
              </w:rPr>
            </w:pPr>
            <w:r>
              <w:rPr>
                <w:rFonts w:ascii="宋体" w:hAnsi="宋体" w:cs="宋体"/>
                <w:bCs/>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流泗镇</w:t>
            </w:r>
          </w:p>
        </w:tc>
        <w:tc>
          <w:tcPr>
            <w:tcW w:w="2130" w:type="dxa"/>
          </w:tcPr>
          <w:p>
            <w:pPr>
              <w:spacing w:line="560" w:lineRule="exact"/>
              <w:jc w:val="center"/>
              <w:rPr>
                <w:rFonts w:ascii="宋体" w:cs="宋体"/>
                <w:bCs/>
                <w:sz w:val="28"/>
                <w:szCs w:val="28"/>
              </w:rPr>
            </w:pPr>
            <w:r>
              <w:rPr>
                <w:rFonts w:ascii="宋体" w:hAnsi="宋体" w:cs="宋体"/>
                <w:bCs/>
                <w:sz w:val="28"/>
                <w:szCs w:val="28"/>
              </w:rPr>
              <w:t>70</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140,000 </w:t>
            </w:r>
          </w:p>
        </w:tc>
        <w:tc>
          <w:tcPr>
            <w:tcW w:w="2131" w:type="dxa"/>
          </w:tcPr>
          <w:p>
            <w:pPr>
              <w:spacing w:line="560" w:lineRule="exact"/>
              <w:jc w:val="center"/>
              <w:rPr>
                <w:rFonts w:ascii="宋体" w:cs="宋体"/>
                <w:bCs/>
                <w:sz w:val="28"/>
                <w:szCs w:val="28"/>
              </w:rPr>
            </w:pPr>
            <w:r>
              <w:rPr>
                <w:rFonts w:ascii="宋体" w:hAnsi="宋体" w:cs="宋体"/>
                <w:bCs/>
                <w:sz w:val="28"/>
                <w:szCs w:val="28"/>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大垅乡</w:t>
            </w:r>
          </w:p>
        </w:tc>
        <w:tc>
          <w:tcPr>
            <w:tcW w:w="2130" w:type="dxa"/>
          </w:tcPr>
          <w:p>
            <w:pPr>
              <w:spacing w:line="560" w:lineRule="exact"/>
              <w:jc w:val="center"/>
              <w:rPr>
                <w:rFonts w:ascii="宋体" w:cs="宋体"/>
                <w:bCs/>
                <w:sz w:val="28"/>
                <w:szCs w:val="28"/>
              </w:rPr>
            </w:pPr>
            <w:r>
              <w:rPr>
                <w:rFonts w:ascii="宋体" w:hAnsi="宋体" w:cs="宋体"/>
                <w:bCs/>
                <w:sz w:val="28"/>
                <w:szCs w:val="28"/>
              </w:rPr>
              <w:t>23</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46,000 </w:t>
            </w:r>
          </w:p>
        </w:tc>
        <w:tc>
          <w:tcPr>
            <w:tcW w:w="2131" w:type="dxa"/>
          </w:tcPr>
          <w:p>
            <w:pPr>
              <w:spacing w:line="560" w:lineRule="exact"/>
              <w:jc w:val="center"/>
              <w:rPr>
                <w:rFonts w:ascii="宋体" w:cs="宋体"/>
                <w:bCs/>
                <w:sz w:val="28"/>
                <w:szCs w:val="28"/>
              </w:rPr>
            </w:pPr>
            <w:r>
              <w:rPr>
                <w:rFonts w:ascii="宋体" w:hAnsi="宋体" w:cs="宋体"/>
                <w:bCs/>
                <w:sz w:val="28"/>
                <w:szCs w:val="2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双钟镇</w:t>
            </w:r>
          </w:p>
        </w:tc>
        <w:tc>
          <w:tcPr>
            <w:tcW w:w="2130" w:type="dxa"/>
          </w:tcPr>
          <w:p>
            <w:pPr>
              <w:spacing w:line="560" w:lineRule="exact"/>
              <w:jc w:val="center"/>
              <w:rPr>
                <w:rFonts w:ascii="宋体" w:cs="宋体"/>
                <w:bCs/>
                <w:sz w:val="28"/>
                <w:szCs w:val="28"/>
              </w:rPr>
            </w:pPr>
            <w:r>
              <w:rPr>
                <w:rFonts w:ascii="宋体" w:hAnsi="宋体" w:cs="宋体"/>
                <w:bCs/>
                <w:sz w:val="28"/>
                <w:szCs w:val="28"/>
              </w:rPr>
              <w:t>4</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8,000 </w:t>
            </w:r>
          </w:p>
        </w:tc>
        <w:tc>
          <w:tcPr>
            <w:tcW w:w="2131" w:type="dxa"/>
          </w:tcPr>
          <w:p>
            <w:pPr>
              <w:spacing w:line="560" w:lineRule="exact"/>
              <w:jc w:val="center"/>
              <w:rPr>
                <w:rFonts w:ascii="宋体" w:cs="宋体"/>
                <w:bCs/>
                <w:sz w:val="28"/>
                <w:szCs w:val="28"/>
              </w:rPr>
            </w:pPr>
            <w:r>
              <w:rPr>
                <w:rFonts w:ascii="宋体" w:hAnsi="宋体" w:cs="宋体"/>
                <w:bCs/>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马影镇</w:t>
            </w:r>
          </w:p>
        </w:tc>
        <w:tc>
          <w:tcPr>
            <w:tcW w:w="2130" w:type="dxa"/>
          </w:tcPr>
          <w:p>
            <w:pPr>
              <w:spacing w:line="560" w:lineRule="exact"/>
              <w:jc w:val="center"/>
              <w:rPr>
                <w:rFonts w:ascii="宋体" w:cs="宋体"/>
                <w:bCs/>
                <w:sz w:val="28"/>
                <w:szCs w:val="28"/>
              </w:rPr>
            </w:pPr>
            <w:r>
              <w:rPr>
                <w:rFonts w:ascii="宋体" w:hAnsi="宋体" w:cs="宋体"/>
                <w:bCs/>
                <w:sz w:val="28"/>
                <w:szCs w:val="28"/>
              </w:rPr>
              <w:t>24</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48,000 </w:t>
            </w:r>
          </w:p>
        </w:tc>
        <w:tc>
          <w:tcPr>
            <w:tcW w:w="2131" w:type="dxa"/>
          </w:tcPr>
          <w:p>
            <w:pPr>
              <w:spacing w:line="560" w:lineRule="exact"/>
              <w:jc w:val="center"/>
              <w:rPr>
                <w:rFonts w:ascii="宋体" w:cs="宋体"/>
                <w:bCs/>
                <w:sz w:val="28"/>
                <w:szCs w:val="28"/>
              </w:rPr>
            </w:pPr>
            <w:r>
              <w:rPr>
                <w:rFonts w:ascii="宋体" w:hAnsi="宋体" w:cs="宋体"/>
                <w:bCs/>
                <w:sz w:val="28"/>
                <w:szCs w:val="2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武垦场</w:t>
            </w:r>
          </w:p>
        </w:tc>
        <w:tc>
          <w:tcPr>
            <w:tcW w:w="2130" w:type="dxa"/>
          </w:tcPr>
          <w:p>
            <w:pPr>
              <w:spacing w:line="560" w:lineRule="exact"/>
              <w:jc w:val="center"/>
              <w:rPr>
                <w:rFonts w:ascii="宋体" w:cs="宋体"/>
                <w:bCs/>
                <w:sz w:val="28"/>
                <w:szCs w:val="28"/>
              </w:rPr>
            </w:pPr>
            <w:r>
              <w:rPr>
                <w:rFonts w:ascii="宋体" w:cs="宋体"/>
                <w:bCs/>
                <w:sz w:val="28"/>
                <w:szCs w:val="28"/>
              </w:rPr>
              <w:t>0</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0 </w:t>
            </w:r>
          </w:p>
        </w:tc>
        <w:tc>
          <w:tcPr>
            <w:tcW w:w="2131" w:type="dxa"/>
          </w:tcPr>
          <w:p>
            <w:pPr>
              <w:spacing w:line="560" w:lineRule="exact"/>
              <w:jc w:val="center"/>
              <w:rPr>
                <w:rFonts w:ascii="宋体" w:cs="宋体"/>
                <w:bCs/>
                <w:sz w:val="28"/>
                <w:szCs w:val="28"/>
              </w:rPr>
            </w:pPr>
            <w:r>
              <w:rPr>
                <w:rFonts w:ascii="宋体" w:cs="宋体"/>
                <w:bCs/>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水稻场</w:t>
            </w:r>
          </w:p>
        </w:tc>
        <w:tc>
          <w:tcPr>
            <w:tcW w:w="2130" w:type="dxa"/>
          </w:tcPr>
          <w:p>
            <w:pPr>
              <w:spacing w:line="560" w:lineRule="exact"/>
              <w:jc w:val="center"/>
              <w:rPr>
                <w:rFonts w:ascii="宋体" w:cs="宋体"/>
                <w:bCs/>
                <w:sz w:val="28"/>
                <w:szCs w:val="28"/>
              </w:rPr>
            </w:pPr>
            <w:r>
              <w:rPr>
                <w:rFonts w:ascii="宋体" w:hAnsi="宋体" w:cs="宋体"/>
                <w:bCs/>
                <w:sz w:val="28"/>
                <w:szCs w:val="28"/>
              </w:rPr>
              <w:t>1</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2,000 </w:t>
            </w:r>
          </w:p>
        </w:tc>
        <w:tc>
          <w:tcPr>
            <w:tcW w:w="2131" w:type="dxa"/>
          </w:tcPr>
          <w:p>
            <w:pPr>
              <w:spacing w:line="560" w:lineRule="exact"/>
              <w:jc w:val="center"/>
              <w:rPr>
                <w:rFonts w:ascii="宋体" w:cs="宋体"/>
                <w:bCs/>
                <w:sz w:val="28"/>
                <w:szCs w:val="28"/>
              </w:rPr>
            </w:pPr>
            <w:r>
              <w:rPr>
                <w:rFonts w:ascii="宋体" w:hAnsi="宋体" w:cs="宋体"/>
                <w:bCs/>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130" w:type="dxa"/>
          </w:tcPr>
          <w:p>
            <w:pPr>
              <w:spacing w:line="560" w:lineRule="exact"/>
              <w:rPr>
                <w:rFonts w:ascii="宋体" w:cs="宋体"/>
                <w:bCs/>
                <w:sz w:val="28"/>
                <w:szCs w:val="28"/>
              </w:rPr>
            </w:pPr>
            <w:r>
              <w:rPr>
                <w:rFonts w:hint="eastAsia" w:ascii="宋体" w:hAnsi="宋体" w:cs="宋体"/>
                <w:bCs/>
                <w:sz w:val="28"/>
                <w:szCs w:val="28"/>
              </w:rPr>
              <w:t>合计</w:t>
            </w:r>
          </w:p>
        </w:tc>
        <w:tc>
          <w:tcPr>
            <w:tcW w:w="2130" w:type="dxa"/>
          </w:tcPr>
          <w:p>
            <w:pPr>
              <w:spacing w:line="560" w:lineRule="exact"/>
              <w:jc w:val="center"/>
              <w:rPr>
                <w:rFonts w:ascii="宋体" w:cs="宋体"/>
                <w:bCs/>
                <w:sz w:val="28"/>
                <w:szCs w:val="28"/>
              </w:rPr>
            </w:pPr>
            <w:r>
              <w:rPr>
                <w:rFonts w:ascii="宋体" w:hAnsi="宋体" w:cs="宋体"/>
                <w:bCs/>
                <w:sz w:val="28"/>
                <w:szCs w:val="28"/>
              </w:rPr>
              <w:t>496</w:t>
            </w:r>
          </w:p>
        </w:tc>
        <w:tc>
          <w:tcPr>
            <w:tcW w:w="2131" w:type="dxa"/>
            <w:vAlign w:val="center"/>
          </w:tcPr>
          <w:p>
            <w:pPr>
              <w:widowControl/>
              <w:jc w:val="center"/>
              <w:textAlignment w:val="center"/>
              <w:rPr>
                <w:rFonts w:ascii="宋体" w:cs="宋体"/>
                <w:bCs/>
                <w:sz w:val="28"/>
                <w:szCs w:val="28"/>
              </w:rPr>
            </w:pPr>
            <w:r>
              <w:rPr>
                <w:rFonts w:ascii="宋体" w:hAnsi="宋体" w:cs="宋体"/>
                <w:color w:val="000000"/>
                <w:kern w:val="0"/>
                <w:sz w:val="22"/>
                <w:szCs w:val="22"/>
              </w:rPr>
              <w:t xml:space="preserve">992,000 </w:t>
            </w:r>
          </w:p>
        </w:tc>
        <w:tc>
          <w:tcPr>
            <w:tcW w:w="2131" w:type="dxa"/>
          </w:tcPr>
          <w:p>
            <w:pPr>
              <w:spacing w:line="560" w:lineRule="exact"/>
              <w:jc w:val="center"/>
              <w:rPr>
                <w:rFonts w:ascii="宋体" w:cs="宋体"/>
                <w:bCs/>
                <w:sz w:val="28"/>
                <w:szCs w:val="28"/>
              </w:rPr>
            </w:pPr>
            <w:r>
              <w:rPr>
                <w:rFonts w:ascii="宋体" w:hAnsi="宋体" w:cs="宋体"/>
                <w:bCs/>
                <w:sz w:val="28"/>
                <w:szCs w:val="28"/>
              </w:rPr>
              <w:t>496</w:t>
            </w:r>
          </w:p>
        </w:tc>
      </w:tr>
    </w:tbl>
    <w:p>
      <w:pPr>
        <w:pStyle w:val="3"/>
        <w:rPr>
          <w:rFonts w:ascii="宋体" w:hAnsi="宋体" w:eastAsia="宋体" w:cs="宋体"/>
          <w:sz w:val="30"/>
          <w:szCs w:val="30"/>
        </w:rPr>
      </w:pPr>
      <w:bookmarkStart w:id="10" w:name="_Toc5736_WPSOffice_Level2"/>
      <w:bookmarkStart w:id="11" w:name="_Toc5418"/>
      <w:r>
        <w:rPr>
          <w:rFonts w:hint="eastAsia" w:ascii="宋体" w:hAnsi="宋体" w:eastAsia="宋体" w:cs="宋体"/>
          <w:sz w:val="30"/>
          <w:szCs w:val="30"/>
        </w:rPr>
        <w:t>（二）预算资金收支情况</w:t>
      </w:r>
      <w:bookmarkEnd w:id="10"/>
      <w:bookmarkEnd w:id="11"/>
    </w:p>
    <w:p>
      <w:pPr>
        <w:spacing w:line="560" w:lineRule="exact"/>
        <w:ind w:firstLine="560" w:firstLineChars="200"/>
        <w:rPr>
          <w:rFonts w:ascii="宋体" w:cs="宋体"/>
          <w:bCs/>
          <w:sz w:val="28"/>
          <w:szCs w:val="28"/>
        </w:rPr>
      </w:pPr>
      <w:r>
        <w:rPr>
          <w:rFonts w:ascii="宋体" w:hAnsi="宋体" w:cs="宋体"/>
          <w:sz w:val="28"/>
          <w:szCs w:val="28"/>
        </w:rPr>
        <w:t>2019</w:t>
      </w:r>
      <w:r>
        <w:rPr>
          <w:rFonts w:hint="eastAsia" w:ascii="宋体" w:hAnsi="宋体" w:cs="宋体"/>
          <w:sz w:val="28"/>
          <w:szCs w:val="28"/>
        </w:rPr>
        <w:t>年湖口县水利局</w:t>
      </w:r>
      <w:r>
        <w:rPr>
          <w:rFonts w:hint="eastAsia" w:ascii="宋体" w:hAnsi="宋体" w:cs="宋体"/>
          <w:bCs/>
          <w:sz w:val="28"/>
          <w:szCs w:val="28"/>
        </w:rPr>
        <w:t>根据县扶贫开发领导小组《关于下达</w:t>
      </w:r>
      <w:r>
        <w:rPr>
          <w:rFonts w:ascii="宋体" w:hAnsi="宋体" w:cs="宋体"/>
          <w:bCs/>
          <w:sz w:val="28"/>
          <w:szCs w:val="28"/>
        </w:rPr>
        <w:t>2019</w:t>
      </w:r>
      <w:r>
        <w:rPr>
          <w:rFonts w:hint="eastAsia" w:ascii="宋体" w:hAnsi="宋体" w:cs="宋体"/>
          <w:bCs/>
          <w:sz w:val="28"/>
          <w:szCs w:val="28"/>
        </w:rPr>
        <w:t>年县本级财政专项扶贫资金和扶贫工作经费计划的通知》（湖开发（</w:t>
      </w:r>
      <w:r>
        <w:rPr>
          <w:rFonts w:ascii="宋体" w:hAnsi="宋体" w:cs="宋体"/>
          <w:bCs/>
          <w:sz w:val="28"/>
          <w:szCs w:val="28"/>
        </w:rPr>
        <w:t>2019</w:t>
      </w:r>
      <w:r>
        <w:rPr>
          <w:rFonts w:hint="eastAsia" w:ascii="宋体" w:hAnsi="宋体" w:cs="宋体"/>
          <w:bCs/>
          <w:sz w:val="28"/>
          <w:szCs w:val="28"/>
        </w:rPr>
        <w:t>）</w:t>
      </w:r>
      <w:r>
        <w:rPr>
          <w:rFonts w:ascii="宋体" w:hAnsi="宋体" w:cs="宋体"/>
          <w:bCs/>
          <w:sz w:val="28"/>
          <w:szCs w:val="28"/>
        </w:rPr>
        <w:t>15</w:t>
      </w:r>
      <w:r>
        <w:rPr>
          <w:rFonts w:hint="eastAsia" w:ascii="宋体" w:hAnsi="宋体" w:cs="宋体"/>
          <w:bCs/>
          <w:sz w:val="28"/>
          <w:szCs w:val="28"/>
        </w:rPr>
        <w:t>号）文件精神，申请全县建档贫困户改水项目预算资金</w:t>
      </w:r>
      <w:r>
        <w:rPr>
          <w:rFonts w:ascii="宋体" w:hAnsi="宋体" w:cs="宋体"/>
          <w:bCs/>
          <w:sz w:val="28"/>
          <w:szCs w:val="28"/>
        </w:rPr>
        <w:t>99.2</w:t>
      </w:r>
      <w:r>
        <w:rPr>
          <w:rFonts w:hint="eastAsia" w:ascii="宋体" w:hAnsi="宋体" w:cs="宋体"/>
          <w:bCs/>
          <w:sz w:val="28"/>
          <w:szCs w:val="28"/>
        </w:rPr>
        <w:t>万元，实收预算安排</w:t>
      </w:r>
      <w:r>
        <w:rPr>
          <w:rFonts w:ascii="宋体" w:hAnsi="宋体" w:cs="宋体"/>
          <w:bCs/>
          <w:sz w:val="28"/>
          <w:szCs w:val="28"/>
        </w:rPr>
        <w:t>99.2</w:t>
      </w:r>
      <w:r>
        <w:rPr>
          <w:rFonts w:hint="eastAsia" w:ascii="宋体" w:hAnsi="宋体" w:cs="宋体"/>
          <w:bCs/>
          <w:sz w:val="28"/>
          <w:szCs w:val="28"/>
        </w:rPr>
        <w:t>万元，年度完成</w:t>
      </w:r>
      <w:r>
        <w:rPr>
          <w:rFonts w:ascii="宋体" w:hAnsi="宋体" w:cs="宋体"/>
          <w:bCs/>
          <w:sz w:val="28"/>
          <w:szCs w:val="28"/>
        </w:rPr>
        <w:t>496</w:t>
      </w:r>
      <w:r>
        <w:rPr>
          <w:rFonts w:hint="eastAsia" w:ascii="宋体" w:hAnsi="宋体" w:cs="宋体"/>
          <w:bCs/>
          <w:sz w:val="28"/>
          <w:szCs w:val="28"/>
        </w:rPr>
        <w:t>户贫困户改水工程，每改水户补助资金</w:t>
      </w:r>
      <w:r>
        <w:rPr>
          <w:rFonts w:ascii="宋体" w:hAnsi="宋体" w:cs="宋体"/>
          <w:bCs/>
          <w:sz w:val="28"/>
          <w:szCs w:val="28"/>
        </w:rPr>
        <w:t>2000</w:t>
      </w:r>
      <w:r>
        <w:rPr>
          <w:rFonts w:hint="eastAsia" w:ascii="宋体" w:hAnsi="宋体" w:cs="宋体"/>
          <w:bCs/>
          <w:sz w:val="28"/>
          <w:szCs w:val="28"/>
        </w:rPr>
        <w:t>元，全年项目支出</w:t>
      </w:r>
      <w:r>
        <w:rPr>
          <w:rFonts w:ascii="宋体" w:hAnsi="宋体" w:cs="宋体"/>
          <w:bCs/>
          <w:sz w:val="28"/>
          <w:szCs w:val="28"/>
        </w:rPr>
        <w:t>99.2</w:t>
      </w:r>
      <w:r>
        <w:rPr>
          <w:rFonts w:hint="eastAsia" w:ascii="宋体" w:hAnsi="宋体" w:cs="宋体"/>
          <w:bCs/>
          <w:sz w:val="28"/>
          <w:szCs w:val="28"/>
        </w:rPr>
        <w:t>万元，改水专项资金全额执行完成，年末无结余。</w:t>
      </w:r>
    </w:p>
    <w:p>
      <w:pPr>
        <w:spacing w:line="560" w:lineRule="exact"/>
        <w:ind w:firstLine="560" w:firstLineChars="200"/>
        <w:rPr>
          <w:rFonts w:ascii="宋体" w:cs="宋体"/>
          <w:bCs/>
          <w:sz w:val="28"/>
          <w:szCs w:val="28"/>
        </w:rPr>
      </w:pPr>
      <w:r>
        <w:rPr>
          <w:rFonts w:hint="eastAsia" w:ascii="宋体" w:hAnsi="宋体" w:cs="宋体"/>
          <w:sz w:val="28"/>
          <w:szCs w:val="28"/>
        </w:rPr>
        <w:t>湖口县水利局</w:t>
      </w:r>
      <w:r>
        <w:rPr>
          <w:rFonts w:hint="eastAsia" w:ascii="宋体" w:hAnsi="宋体" w:cs="宋体"/>
          <w:bCs/>
          <w:sz w:val="28"/>
          <w:szCs w:val="28"/>
        </w:rPr>
        <w:t>根据</w:t>
      </w:r>
      <w:r>
        <w:rPr>
          <w:rFonts w:hint="eastAsia" w:ascii="宋体" w:hAnsi="宋体" w:cs="宋体"/>
          <w:bCs/>
          <w:sz w:val="28"/>
          <w:szCs w:val="28"/>
          <w:lang w:eastAsia="zh-CN"/>
        </w:rPr>
        <w:t>《中华人民共和国会计法》</w:t>
      </w:r>
      <w:r>
        <w:rPr>
          <w:rFonts w:hint="eastAsia" w:ascii="宋体" w:hAnsi="宋体" w:cs="宋体"/>
          <w:bCs/>
          <w:sz w:val="28"/>
          <w:szCs w:val="28"/>
        </w:rPr>
        <w:t>、《预算法》及县纪委《关于加强扶贫领域项目资金监管工作的通知》等财经管理文件规定并结合部门实际制订了《湖口县农村贫困户改水专项资金管理办法》。财务收支严格遵守专项资金管理制度，并采取有效监管措施，专账管理，保障专款专用；确保专项资金</w:t>
      </w:r>
      <w:bookmarkStart w:id="35" w:name="_GoBack"/>
      <w:bookmarkEnd w:id="35"/>
      <w:r>
        <w:rPr>
          <w:rFonts w:hint="eastAsia" w:ascii="宋体" w:hAnsi="宋体" w:cs="宋体"/>
          <w:bCs/>
          <w:sz w:val="28"/>
          <w:szCs w:val="28"/>
        </w:rPr>
        <w:t>管理及使用合法合规。改水补助款根据水利局组织专业改水工程验收人员逐户现场验收结果审核发放，贫困户自建的一律通过该户一卡通账户拨付，贫困户授权委托，乡村组织统一聘请水厂等单位实施的，根据施工合同及工程验收报告拨付施工方账户。</w:t>
      </w:r>
    </w:p>
    <w:p>
      <w:pPr>
        <w:pStyle w:val="3"/>
        <w:numPr>
          <w:ilvl w:val="0"/>
          <w:numId w:val="1"/>
        </w:numPr>
        <w:rPr>
          <w:rFonts w:ascii="宋体" w:hAnsi="宋体" w:eastAsia="宋体" w:cs="宋体"/>
          <w:sz w:val="28"/>
          <w:szCs w:val="28"/>
        </w:rPr>
      </w:pPr>
      <w:bookmarkStart w:id="12" w:name="_Toc30779"/>
      <w:r>
        <w:rPr>
          <w:rFonts w:hint="eastAsia" w:ascii="宋体" w:hAnsi="宋体" w:eastAsia="宋体" w:cs="宋体"/>
          <w:sz w:val="28"/>
          <w:szCs w:val="28"/>
        </w:rPr>
        <w:t>项目组织管理情况</w:t>
      </w:r>
      <w:bookmarkEnd w:id="12"/>
    </w:p>
    <w:p>
      <w:pPr>
        <w:spacing w:line="560" w:lineRule="exact"/>
        <w:ind w:firstLine="560" w:firstLineChars="200"/>
        <w:rPr>
          <w:color w:val="0000FF"/>
          <w:sz w:val="28"/>
          <w:szCs w:val="28"/>
        </w:rPr>
      </w:pPr>
      <w:r>
        <w:rPr>
          <w:rFonts w:hint="eastAsia"/>
          <w:sz w:val="28"/>
          <w:szCs w:val="28"/>
        </w:rPr>
        <w:t>县水利局作为贫困户改水项目牵头负责单位，高度重视此项民生工程推进工作，成立了以县水利局局长为组长，县水利局业务科室及各乡镇场村政府相关对口负责单位、县财政局相关科室负责人员为成员的贫困户改水项目工作领导小组，领导小组下设办公室负责改水日常工作管理。农村改水工作实行项目管理制，责任主体为地方各级政府。根据改水规划和年度目标任务，把握重点环节、精准施策发力，强抓工作落实：</w:t>
      </w:r>
    </w:p>
    <w:p>
      <w:pPr>
        <w:spacing w:line="560" w:lineRule="exact"/>
        <w:ind w:firstLine="560" w:firstLineChars="200"/>
        <w:rPr>
          <w:sz w:val="28"/>
          <w:szCs w:val="28"/>
        </w:rPr>
      </w:pPr>
      <w:r>
        <w:rPr>
          <w:rFonts w:hint="eastAsia"/>
          <w:sz w:val="28"/>
          <w:szCs w:val="28"/>
        </w:rPr>
        <w:t>（</w:t>
      </w:r>
      <w:r>
        <w:rPr>
          <w:sz w:val="28"/>
          <w:szCs w:val="28"/>
        </w:rPr>
        <w:t>1</w:t>
      </w:r>
      <w:r>
        <w:rPr>
          <w:rFonts w:hint="eastAsia"/>
          <w:sz w:val="28"/>
          <w:szCs w:val="28"/>
        </w:rPr>
        <w:t>）申报管理。各级地方政府有关部门根据县级改水目标任务编制年度改水项目计划，确定项目改水村镇贫困户并汇总上报复核。县水利局会同财政等有关部门审定后确认下达年度农村改水计划，确定卫生改水项目村及贫困户名单。</w:t>
      </w:r>
    </w:p>
    <w:p>
      <w:pPr>
        <w:spacing w:line="560" w:lineRule="exact"/>
        <w:ind w:firstLine="560" w:firstLineChars="200"/>
        <w:rPr>
          <w:sz w:val="28"/>
          <w:szCs w:val="28"/>
        </w:rPr>
      </w:pPr>
      <w:r>
        <w:rPr>
          <w:rFonts w:hint="eastAsia"/>
          <w:sz w:val="28"/>
          <w:szCs w:val="28"/>
        </w:rPr>
        <w:t>（</w:t>
      </w:r>
      <w:r>
        <w:rPr>
          <w:sz w:val="28"/>
          <w:szCs w:val="28"/>
        </w:rPr>
        <w:t>2</w:t>
      </w:r>
      <w:r>
        <w:rPr>
          <w:rFonts w:hint="eastAsia"/>
          <w:sz w:val="28"/>
          <w:szCs w:val="28"/>
        </w:rPr>
        <w:t>）建设管理。改水项目组按照农村户改水相关要求组织工作人员管理改水工程的推进，完成下达的改水计划任务。</w:t>
      </w:r>
    </w:p>
    <w:p>
      <w:pPr>
        <w:spacing w:line="560" w:lineRule="exact"/>
        <w:ind w:firstLine="560" w:firstLineChars="200"/>
        <w:rPr>
          <w:sz w:val="28"/>
          <w:szCs w:val="28"/>
        </w:rPr>
      </w:pPr>
      <w:r>
        <w:rPr>
          <w:rFonts w:hint="eastAsia"/>
          <w:sz w:val="28"/>
          <w:szCs w:val="28"/>
        </w:rPr>
        <w:t>（</w:t>
      </w:r>
      <w:r>
        <w:rPr>
          <w:sz w:val="28"/>
          <w:szCs w:val="28"/>
        </w:rPr>
        <w:t>3</w:t>
      </w:r>
      <w:r>
        <w:rPr>
          <w:rFonts w:hint="eastAsia"/>
          <w:sz w:val="28"/>
          <w:szCs w:val="28"/>
        </w:rPr>
        <w:t>）验收管理。县水利局对当年完成改水的农户逐户登记造册，建立电子档案，逐村逐户复核验收。</w:t>
      </w:r>
    </w:p>
    <w:p>
      <w:pPr>
        <w:pStyle w:val="3"/>
        <w:rPr>
          <w:rFonts w:ascii="宋体" w:hAnsi="宋体" w:eastAsia="宋体" w:cs="宋体"/>
          <w:sz w:val="28"/>
          <w:szCs w:val="28"/>
        </w:rPr>
      </w:pPr>
      <w:bookmarkStart w:id="13" w:name="_Toc11645"/>
      <w:r>
        <w:rPr>
          <w:rFonts w:hint="eastAsia" w:ascii="宋体" w:hAnsi="宋体" w:eastAsia="宋体" w:cs="宋体"/>
          <w:sz w:val="28"/>
          <w:szCs w:val="28"/>
        </w:rPr>
        <w:t>（四）项目实施效果</w:t>
      </w:r>
      <w:bookmarkEnd w:id="13"/>
    </w:p>
    <w:p>
      <w:pPr>
        <w:spacing w:line="560" w:lineRule="exact"/>
        <w:ind w:firstLine="560" w:firstLineChars="200"/>
        <w:rPr>
          <w:rFonts w:ascii="宋体" w:cs="宋体"/>
          <w:bCs/>
          <w:sz w:val="28"/>
          <w:szCs w:val="28"/>
        </w:rPr>
      </w:pPr>
      <w:r>
        <w:rPr>
          <w:rFonts w:ascii="宋体" w:hAnsi="宋体" w:cs="宋体"/>
          <w:bCs/>
          <w:sz w:val="28"/>
          <w:szCs w:val="28"/>
        </w:rPr>
        <w:t>2019</w:t>
      </w:r>
      <w:r>
        <w:rPr>
          <w:rFonts w:hint="eastAsia" w:ascii="宋体" w:hAnsi="宋体" w:cs="宋体"/>
          <w:bCs/>
          <w:sz w:val="28"/>
          <w:szCs w:val="28"/>
        </w:rPr>
        <w:t>年县农村贫困户改水项目建设，取得了较好的社会效益，贫困户饮水状况焕然一新，生活质量显著提高，具体表现在：</w:t>
      </w:r>
    </w:p>
    <w:p>
      <w:pPr>
        <w:spacing w:line="560" w:lineRule="exact"/>
        <w:ind w:firstLine="560" w:firstLineChars="200"/>
        <w:rPr>
          <w:rFonts w:ascii="宋体" w:cs="宋体"/>
          <w:bCs/>
          <w:sz w:val="28"/>
          <w:szCs w:val="28"/>
        </w:rPr>
      </w:pPr>
      <w:r>
        <w:rPr>
          <w:rFonts w:ascii="宋体" w:hAnsi="宋体" w:cs="宋体"/>
          <w:bCs/>
          <w:sz w:val="28"/>
          <w:szCs w:val="28"/>
        </w:rPr>
        <w:t>1</w:t>
      </w:r>
      <w:r>
        <w:rPr>
          <w:rFonts w:hint="eastAsia" w:ascii="宋体" w:hAnsi="宋体" w:cs="宋体"/>
          <w:bCs/>
          <w:sz w:val="28"/>
          <w:szCs w:val="28"/>
        </w:rPr>
        <w:t>、大大改善了人民群众的生活条件和健康状况。</w:t>
      </w:r>
    </w:p>
    <w:p>
      <w:pPr>
        <w:spacing w:line="560" w:lineRule="exact"/>
        <w:ind w:firstLine="560" w:firstLineChars="200"/>
        <w:rPr>
          <w:rFonts w:ascii="宋体" w:cs="宋体"/>
          <w:bCs/>
          <w:sz w:val="28"/>
          <w:szCs w:val="28"/>
        </w:rPr>
      </w:pPr>
      <w:r>
        <w:rPr>
          <w:rFonts w:hint="eastAsia" w:ascii="宋体" w:hAnsi="宋体" w:cs="宋体"/>
          <w:bCs/>
          <w:sz w:val="28"/>
          <w:szCs w:val="28"/>
        </w:rPr>
        <w:t>工程的实施不仅使受益群众的饮水安全得到保障，还使群众告别了祖祖辈辈饮用不安全水的历史，喝上了符合国家饮用水标准的安全饮用水，减少了水传染病的发病率，消除了因水质差带给人们的各种疾病，提高了广大农村贫困户的健康水平。</w:t>
      </w:r>
    </w:p>
    <w:p>
      <w:pPr>
        <w:spacing w:line="560" w:lineRule="exact"/>
        <w:ind w:firstLine="560" w:firstLineChars="200"/>
        <w:rPr>
          <w:rFonts w:ascii="宋体" w:cs="宋体"/>
          <w:bCs/>
          <w:sz w:val="28"/>
          <w:szCs w:val="28"/>
        </w:rPr>
      </w:pPr>
      <w:r>
        <w:rPr>
          <w:rFonts w:ascii="宋体" w:hAnsi="宋体" w:cs="宋体"/>
          <w:bCs/>
          <w:sz w:val="28"/>
          <w:szCs w:val="28"/>
        </w:rPr>
        <w:t>2</w:t>
      </w:r>
      <w:r>
        <w:rPr>
          <w:rFonts w:hint="eastAsia" w:ascii="宋体" w:hAnsi="宋体" w:cs="宋体"/>
          <w:bCs/>
          <w:sz w:val="28"/>
          <w:szCs w:val="28"/>
        </w:rPr>
        <w:t>、增强了农村的经济社会发展能力。</w:t>
      </w:r>
    </w:p>
    <w:p>
      <w:pPr>
        <w:spacing w:line="560" w:lineRule="exact"/>
        <w:ind w:firstLine="560" w:firstLineChars="200"/>
        <w:rPr>
          <w:rFonts w:ascii="宋体" w:cs="宋体"/>
          <w:bCs/>
          <w:sz w:val="28"/>
          <w:szCs w:val="28"/>
        </w:rPr>
      </w:pPr>
      <w:r>
        <w:rPr>
          <w:rFonts w:hint="eastAsia" w:ascii="宋体" w:hAnsi="宋体" w:cs="宋体"/>
          <w:bCs/>
          <w:sz w:val="28"/>
          <w:szCs w:val="28"/>
        </w:rPr>
        <w:t>饮水工程的实施极大地改善了受益群众的生产和生活条件，使农村群众减轻了打井取水、担水的劳动强度和经济负担，增强了农村贫困户的发展能力。</w:t>
      </w:r>
    </w:p>
    <w:p>
      <w:pPr>
        <w:spacing w:line="560" w:lineRule="exact"/>
        <w:ind w:firstLine="560" w:firstLineChars="200"/>
        <w:rPr>
          <w:rFonts w:ascii="宋体" w:cs="宋体"/>
          <w:bCs/>
          <w:sz w:val="28"/>
          <w:szCs w:val="28"/>
        </w:rPr>
      </w:pPr>
      <w:r>
        <w:rPr>
          <w:rFonts w:ascii="宋体" w:hAnsi="宋体" w:cs="宋体"/>
          <w:bCs/>
          <w:sz w:val="28"/>
          <w:szCs w:val="28"/>
        </w:rPr>
        <w:t>3</w:t>
      </w:r>
      <w:r>
        <w:rPr>
          <w:rFonts w:hint="eastAsia" w:ascii="宋体" w:hAnsi="宋体" w:cs="宋体"/>
          <w:bCs/>
          <w:sz w:val="28"/>
          <w:szCs w:val="28"/>
        </w:rPr>
        <w:t>、积极推动了农村生活环境的改善。</w:t>
      </w:r>
    </w:p>
    <w:p>
      <w:pPr>
        <w:spacing w:line="560" w:lineRule="exact"/>
        <w:ind w:firstLine="560" w:firstLineChars="200"/>
        <w:rPr>
          <w:rFonts w:ascii="宋体" w:cs="宋体"/>
          <w:bCs/>
          <w:sz w:val="28"/>
          <w:szCs w:val="28"/>
        </w:rPr>
      </w:pPr>
      <w:r>
        <w:rPr>
          <w:rFonts w:hint="eastAsia" w:ascii="宋体" w:hAnsi="宋体" w:cs="宋体"/>
          <w:bCs/>
          <w:sz w:val="28"/>
          <w:szCs w:val="28"/>
        </w:rPr>
        <w:t>随着农户饮水改造工作推进，促进了农户改灶、改厨、改厕等，许多农家配用了卫生洁具、洗衣机、太阳能热水器，农户生活方式也发生了显著变化，增强了农村贫困户幸福感。</w:t>
      </w:r>
    </w:p>
    <w:p>
      <w:pPr>
        <w:spacing w:line="560" w:lineRule="exact"/>
        <w:ind w:firstLine="560" w:firstLineChars="200"/>
        <w:rPr>
          <w:rFonts w:ascii="宋体" w:cs="宋体"/>
          <w:bCs/>
          <w:sz w:val="28"/>
          <w:szCs w:val="28"/>
          <w:u w:val="single"/>
        </w:rPr>
      </w:pPr>
    </w:p>
    <w:p>
      <w:pPr>
        <w:pStyle w:val="2"/>
        <w:rPr>
          <w:rFonts w:ascii="宋体" w:cs="宋体"/>
          <w:sz w:val="36"/>
          <w:szCs w:val="36"/>
        </w:rPr>
      </w:pPr>
      <w:bookmarkStart w:id="14" w:name="_Toc5736_WPSOffice_Level1"/>
      <w:bookmarkStart w:id="15" w:name="_Toc9025"/>
      <w:r>
        <w:rPr>
          <w:rFonts w:hint="eastAsia" w:ascii="宋体" w:hAnsi="宋体" w:cs="宋体"/>
          <w:sz w:val="36"/>
          <w:szCs w:val="36"/>
        </w:rPr>
        <w:t>二、绩效评价</w:t>
      </w:r>
      <w:bookmarkEnd w:id="14"/>
      <w:r>
        <w:rPr>
          <w:rFonts w:hint="eastAsia" w:ascii="宋体" w:hAnsi="宋体" w:cs="宋体"/>
          <w:sz w:val="36"/>
          <w:szCs w:val="36"/>
        </w:rPr>
        <w:t>管理</w:t>
      </w:r>
      <w:bookmarkEnd w:id="15"/>
    </w:p>
    <w:p>
      <w:pPr>
        <w:pStyle w:val="3"/>
        <w:rPr>
          <w:rFonts w:ascii="宋体" w:hAnsi="宋体" w:eastAsia="宋体" w:cs="宋体"/>
          <w:sz w:val="30"/>
          <w:szCs w:val="30"/>
        </w:rPr>
      </w:pPr>
      <w:bookmarkStart w:id="16" w:name="_Toc11913"/>
      <w:r>
        <w:rPr>
          <w:rFonts w:hint="eastAsia" w:ascii="宋体" w:hAnsi="宋体" w:eastAsia="宋体" w:cs="宋体"/>
          <w:sz w:val="30"/>
          <w:szCs w:val="30"/>
        </w:rPr>
        <w:t>（一）绩效评价标准</w:t>
      </w:r>
      <w:bookmarkEnd w:id="16"/>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《中华人民共和国预算法》；</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财政部《项目支出绩效评价管理暂行办法》的通知（财预</w:t>
      </w:r>
      <w:r>
        <w:rPr>
          <w:rFonts w:ascii="宋体" w:hAnsi="宋体" w:cs="宋体"/>
          <w:sz w:val="28"/>
          <w:szCs w:val="28"/>
        </w:rPr>
        <w:t>[2020]10</w:t>
      </w:r>
      <w:r>
        <w:rPr>
          <w:rFonts w:hint="eastAsia" w:ascii="宋体" w:hAnsi="宋体" w:cs="宋体"/>
          <w:sz w:val="28"/>
          <w:szCs w:val="28"/>
        </w:rPr>
        <w:t>号文）；</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中共江西省委</w:t>
      </w:r>
      <w:r>
        <w:rPr>
          <w:rFonts w:ascii="宋体" w:hAnsi="宋体" w:cs="宋体"/>
          <w:sz w:val="28"/>
          <w:szCs w:val="28"/>
        </w:rPr>
        <w:t xml:space="preserve"> </w:t>
      </w:r>
      <w:r>
        <w:rPr>
          <w:rFonts w:hint="eastAsia" w:ascii="宋体" w:hAnsi="宋体" w:cs="宋体"/>
          <w:sz w:val="28"/>
          <w:szCs w:val="28"/>
        </w:rPr>
        <w:t>江西省人民政府关于全面实施预算绩效管理的实施意见》（赣府发</w:t>
      </w:r>
      <w:r>
        <w:rPr>
          <w:rFonts w:ascii="宋体" w:hAnsi="宋体" w:cs="宋体"/>
          <w:sz w:val="28"/>
          <w:szCs w:val="28"/>
        </w:rPr>
        <w:t>[2019]8</w:t>
      </w:r>
      <w:r>
        <w:rPr>
          <w:rFonts w:hint="eastAsia" w:ascii="宋体" w:hAnsi="宋体" w:cs="宋体"/>
          <w:sz w:val="28"/>
          <w:szCs w:val="28"/>
        </w:rPr>
        <w:t>号）；</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中共湖口县委</w:t>
      </w:r>
      <w:r>
        <w:rPr>
          <w:rFonts w:ascii="宋体" w:hAnsi="宋体" w:cs="宋体"/>
          <w:sz w:val="28"/>
          <w:szCs w:val="28"/>
        </w:rPr>
        <w:t xml:space="preserve">  </w:t>
      </w:r>
      <w:r>
        <w:rPr>
          <w:rFonts w:hint="eastAsia" w:ascii="宋体" w:hAnsi="宋体" w:cs="宋体"/>
          <w:sz w:val="28"/>
          <w:szCs w:val="28"/>
        </w:rPr>
        <w:t>湖口县人民政府印发《关于全面实施预算绩效管理的实施办法》的通知（湖发</w:t>
      </w:r>
      <w:r>
        <w:rPr>
          <w:rFonts w:ascii="宋体" w:hAnsi="宋体" w:cs="宋体"/>
          <w:sz w:val="28"/>
          <w:szCs w:val="28"/>
        </w:rPr>
        <w:t>[2020]6</w:t>
      </w:r>
      <w:r>
        <w:rPr>
          <w:rFonts w:hint="eastAsia" w:ascii="宋体" w:hAnsi="宋体" w:cs="宋体"/>
          <w:sz w:val="28"/>
          <w:szCs w:val="28"/>
        </w:rPr>
        <w:t>号）</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《湖口县财政局关于开展</w:t>
      </w:r>
      <w:r>
        <w:rPr>
          <w:rFonts w:ascii="宋体" w:hAnsi="宋体" w:cs="宋体"/>
          <w:sz w:val="28"/>
          <w:szCs w:val="28"/>
        </w:rPr>
        <w:t>2019</w:t>
      </w:r>
      <w:r>
        <w:rPr>
          <w:rFonts w:hint="eastAsia" w:ascii="宋体" w:hAnsi="宋体" w:cs="宋体"/>
          <w:sz w:val="28"/>
          <w:szCs w:val="28"/>
        </w:rPr>
        <w:t>年度县级专项资金（项目支出）财政重点绩效评价工作的通知》（湖财绩</w:t>
      </w:r>
      <w:r>
        <w:rPr>
          <w:rFonts w:ascii="宋体" w:hAnsi="宋体" w:cs="宋体"/>
          <w:sz w:val="28"/>
          <w:szCs w:val="28"/>
        </w:rPr>
        <w:t>[2020]4</w:t>
      </w:r>
      <w:r>
        <w:rPr>
          <w:rFonts w:hint="eastAsia" w:ascii="宋体" w:hAnsi="宋体" w:cs="宋体"/>
          <w:sz w:val="28"/>
          <w:szCs w:val="28"/>
        </w:rPr>
        <w:t>号）；</w:t>
      </w:r>
    </w:p>
    <w:p>
      <w:pPr>
        <w:pStyle w:val="3"/>
        <w:rPr>
          <w:rFonts w:ascii="宋体" w:hAnsi="宋体" w:eastAsia="宋体" w:cs="宋体"/>
          <w:sz w:val="30"/>
          <w:szCs w:val="30"/>
        </w:rPr>
      </w:pPr>
      <w:bookmarkStart w:id="17" w:name="_Toc32616"/>
      <w:bookmarkStart w:id="18" w:name="_Toc23171_WPSOffice_Level2"/>
      <w:r>
        <w:rPr>
          <w:rFonts w:hint="eastAsia" w:ascii="宋体" w:hAnsi="宋体" w:eastAsia="宋体" w:cs="宋体"/>
          <w:sz w:val="30"/>
          <w:szCs w:val="30"/>
        </w:rPr>
        <w:t>（二）绩效评价原则、方法</w:t>
      </w:r>
      <w:bookmarkEnd w:id="17"/>
      <w:bookmarkEnd w:id="18"/>
    </w:p>
    <w:p>
      <w:pPr>
        <w:numPr>
          <w:ilvl w:val="0"/>
          <w:numId w:val="3"/>
        </w:numPr>
        <w:spacing w:line="600" w:lineRule="exact"/>
        <w:ind w:firstLine="560" w:firstLineChars="200"/>
        <w:rPr>
          <w:rFonts w:ascii="宋体" w:cs="宋体"/>
          <w:sz w:val="28"/>
          <w:szCs w:val="28"/>
        </w:rPr>
      </w:pPr>
      <w:r>
        <w:rPr>
          <w:rFonts w:hint="eastAsia" w:ascii="宋体" w:hAnsi="宋体" w:cs="宋体"/>
          <w:sz w:val="28"/>
          <w:szCs w:val="28"/>
        </w:rPr>
        <w:t>评价原则</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）科学规范原则。注重支出的经济性、效率性和有效性，采用定量与定性相结合的方法。</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）公开公正原则。客观、公正，标准统一、数据资料真实可靠，公开并接受监督。</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）统一管理原则。自觉接受财政部门统一组织管理。</w:t>
      </w:r>
    </w:p>
    <w:p>
      <w:pPr>
        <w:spacing w:line="600" w:lineRule="exact"/>
        <w:ind w:firstLine="560" w:firstLineChars="200"/>
        <w:rPr>
          <w:rFonts w:ascii="宋体" w:cs="宋体"/>
          <w:bCs/>
          <w:sz w:val="28"/>
          <w:szCs w:val="28"/>
        </w:rPr>
      </w:pPr>
      <w:r>
        <w:rPr>
          <w:rFonts w:hint="eastAsia" w:ascii="宋体" w:hAnsi="宋体" w:cs="宋体"/>
          <w:sz w:val="28"/>
          <w:szCs w:val="28"/>
        </w:rPr>
        <w:t>（</w:t>
      </w:r>
      <w:r>
        <w:rPr>
          <w:rFonts w:ascii="宋体" w:hAnsi="宋体" w:cs="宋体"/>
          <w:sz w:val="28"/>
          <w:szCs w:val="28"/>
        </w:rPr>
        <w:t>4</w:t>
      </w:r>
      <w:r>
        <w:rPr>
          <w:rFonts w:hint="eastAsia" w:ascii="宋体" w:hAnsi="宋体" w:cs="宋体"/>
          <w:sz w:val="28"/>
          <w:szCs w:val="28"/>
        </w:rPr>
        <w:t>）绩效相关原则。针对具体投入及其产出绩效进行，评价结果清晰反映投入和绩效之间的对应关系。</w:t>
      </w:r>
    </w:p>
    <w:p>
      <w:pPr>
        <w:spacing w:line="560" w:lineRule="exact"/>
        <w:ind w:left="420" w:leftChars="200" w:firstLine="280" w:firstLineChars="100"/>
        <w:rPr>
          <w:rFonts w:ascii="宋体" w:cs="宋体"/>
          <w:bCs/>
          <w:sz w:val="28"/>
          <w:szCs w:val="28"/>
        </w:rPr>
      </w:pPr>
      <w:r>
        <w:rPr>
          <w:rFonts w:ascii="宋体" w:hAnsi="宋体" w:cs="宋体"/>
          <w:bCs/>
          <w:sz w:val="28"/>
          <w:szCs w:val="28"/>
        </w:rPr>
        <w:t>2</w:t>
      </w:r>
      <w:r>
        <w:rPr>
          <w:rFonts w:hint="eastAsia" w:ascii="宋体" w:hAnsi="宋体" w:cs="宋体"/>
          <w:bCs/>
          <w:sz w:val="28"/>
          <w:szCs w:val="28"/>
        </w:rPr>
        <w:t>、评价方法</w:t>
      </w:r>
    </w:p>
    <w:p>
      <w:pPr>
        <w:spacing w:line="600" w:lineRule="exact"/>
        <w:ind w:firstLine="560" w:firstLineChars="200"/>
        <w:rPr>
          <w:rFonts w:ascii="宋体" w:cs="宋体"/>
          <w:sz w:val="28"/>
          <w:szCs w:val="28"/>
        </w:rPr>
      </w:pPr>
      <w:r>
        <w:rPr>
          <w:rFonts w:hint="eastAsia" w:ascii="宋体" w:hAnsi="宋体" w:cs="宋体"/>
          <w:sz w:val="28"/>
          <w:szCs w:val="28"/>
        </w:rPr>
        <w:t>根据财政收支项目绩效评价政策文件要求，项目绩效评价采取打分评价的形式，满分为</w:t>
      </w:r>
      <w:r>
        <w:rPr>
          <w:rFonts w:ascii="宋体" w:hAnsi="宋体" w:cs="宋体"/>
          <w:sz w:val="28"/>
          <w:szCs w:val="28"/>
        </w:rPr>
        <w:t>100</w:t>
      </w:r>
      <w:r>
        <w:rPr>
          <w:rFonts w:hint="eastAsia" w:ascii="宋体" w:hAnsi="宋体" w:cs="宋体"/>
          <w:sz w:val="28"/>
          <w:szCs w:val="28"/>
        </w:rPr>
        <w:t>分。一级指标权重统一设置为：项目资金投入指标</w:t>
      </w:r>
      <w:r>
        <w:rPr>
          <w:rFonts w:ascii="宋体" w:hAnsi="宋体" w:cs="宋体"/>
          <w:sz w:val="28"/>
          <w:szCs w:val="28"/>
        </w:rPr>
        <w:t>10</w:t>
      </w:r>
      <w:r>
        <w:rPr>
          <w:rFonts w:hint="eastAsia" w:ascii="宋体" w:hAnsi="宋体" w:cs="宋体"/>
          <w:sz w:val="28"/>
          <w:szCs w:val="28"/>
        </w:rPr>
        <w:t>分、项目过程管理</w:t>
      </w:r>
      <w:r>
        <w:rPr>
          <w:rFonts w:ascii="宋体" w:hAnsi="宋体" w:cs="宋体"/>
          <w:sz w:val="28"/>
          <w:szCs w:val="28"/>
        </w:rPr>
        <w:t>20</w:t>
      </w:r>
      <w:r>
        <w:rPr>
          <w:rFonts w:hint="eastAsia" w:ascii="宋体" w:hAnsi="宋体" w:cs="宋体"/>
          <w:sz w:val="28"/>
          <w:szCs w:val="28"/>
        </w:rPr>
        <w:t>分、项目产出效果指标</w:t>
      </w:r>
      <w:r>
        <w:rPr>
          <w:rFonts w:ascii="宋体" w:hAnsi="宋体" w:cs="宋体"/>
          <w:sz w:val="28"/>
          <w:szCs w:val="28"/>
        </w:rPr>
        <w:t>30</w:t>
      </w:r>
      <w:r>
        <w:rPr>
          <w:rFonts w:hint="eastAsia" w:ascii="宋体" w:hAnsi="宋体" w:cs="宋体"/>
          <w:sz w:val="28"/>
          <w:szCs w:val="28"/>
        </w:rPr>
        <w:t>分与项目效益指标</w:t>
      </w:r>
      <w:r>
        <w:rPr>
          <w:rFonts w:ascii="宋体" w:hAnsi="宋体" w:cs="宋体"/>
          <w:sz w:val="28"/>
          <w:szCs w:val="28"/>
        </w:rPr>
        <w:t>30</w:t>
      </w:r>
      <w:r>
        <w:rPr>
          <w:rFonts w:hint="eastAsia" w:ascii="宋体" w:hAnsi="宋体" w:cs="宋体"/>
          <w:sz w:val="28"/>
          <w:szCs w:val="28"/>
        </w:rPr>
        <w:t>分、满意度指标</w:t>
      </w:r>
      <w:r>
        <w:rPr>
          <w:rFonts w:ascii="宋体" w:hAnsi="宋体" w:cs="宋体"/>
          <w:sz w:val="28"/>
          <w:szCs w:val="28"/>
        </w:rPr>
        <w:t>10</w:t>
      </w:r>
      <w:r>
        <w:rPr>
          <w:rFonts w:hint="eastAsia" w:ascii="宋体" w:hAnsi="宋体" w:cs="宋体"/>
          <w:sz w:val="28"/>
          <w:szCs w:val="28"/>
        </w:rPr>
        <w:t>分。根据各项指标重要程度确定项目的二级绩效指标和三级绩效指标的分值权重。</w:t>
      </w:r>
    </w:p>
    <w:p>
      <w:pPr>
        <w:spacing w:line="600" w:lineRule="exact"/>
        <w:ind w:firstLine="560" w:firstLineChars="200"/>
        <w:rPr>
          <w:rFonts w:ascii="宋体" w:cs="宋体"/>
          <w:sz w:val="28"/>
          <w:szCs w:val="28"/>
        </w:rPr>
      </w:pPr>
      <w:r>
        <w:rPr>
          <w:rFonts w:hint="eastAsia" w:ascii="宋体" w:hAnsi="宋体" w:cs="宋体"/>
          <w:sz w:val="28"/>
          <w:szCs w:val="28"/>
        </w:rPr>
        <w:t>项目支出绩效评价指标分为两类：一是定量指标。完成指标值的，计该指标所赋全部分值；未完成的，按照完成值在指标值中所占比例记分。二是定性指标。根据指标完成情况分为：达成预期指标、部分达成预期指标并具有一定效果、未达成预期指标且效果较差三档，分别按照该指标对应分值区间</w:t>
      </w:r>
      <w:r>
        <w:rPr>
          <w:rFonts w:ascii="宋体" w:hAnsi="宋体" w:cs="宋体"/>
          <w:sz w:val="28"/>
          <w:szCs w:val="28"/>
        </w:rPr>
        <w:t>100-90%</w:t>
      </w:r>
      <w:r>
        <w:rPr>
          <w:rFonts w:hint="eastAsia" w:ascii="宋体" w:hAnsi="宋体" w:cs="宋体"/>
          <w:sz w:val="28"/>
          <w:szCs w:val="28"/>
        </w:rPr>
        <w:t>（含</w:t>
      </w:r>
      <w:r>
        <w:rPr>
          <w:rFonts w:ascii="宋体" w:hAnsi="宋体" w:cs="宋体"/>
          <w:sz w:val="28"/>
          <w:szCs w:val="28"/>
        </w:rPr>
        <w:t>90%</w:t>
      </w:r>
      <w:r>
        <w:rPr>
          <w:rFonts w:hint="eastAsia" w:ascii="宋体" w:hAnsi="宋体" w:cs="宋体"/>
          <w:sz w:val="28"/>
          <w:szCs w:val="28"/>
        </w:rPr>
        <w:t>）、</w:t>
      </w:r>
      <w:r>
        <w:rPr>
          <w:rFonts w:ascii="宋体" w:hAnsi="宋体" w:cs="宋体"/>
          <w:sz w:val="28"/>
          <w:szCs w:val="28"/>
        </w:rPr>
        <w:t>90-60%</w:t>
      </w:r>
      <w:r>
        <w:rPr>
          <w:rFonts w:hint="eastAsia" w:ascii="宋体" w:hAnsi="宋体" w:cs="宋体"/>
          <w:sz w:val="28"/>
          <w:szCs w:val="28"/>
        </w:rPr>
        <w:t>（含</w:t>
      </w:r>
      <w:r>
        <w:rPr>
          <w:rFonts w:ascii="宋体" w:hAnsi="宋体" w:cs="宋体"/>
          <w:sz w:val="28"/>
          <w:szCs w:val="28"/>
        </w:rPr>
        <w:t>60%</w:t>
      </w:r>
      <w:r>
        <w:rPr>
          <w:rFonts w:hint="eastAsia" w:ascii="宋体" w:hAnsi="宋体" w:cs="宋体"/>
          <w:sz w:val="28"/>
          <w:szCs w:val="28"/>
        </w:rPr>
        <w:t>）、</w:t>
      </w:r>
      <w:r>
        <w:rPr>
          <w:rFonts w:ascii="宋体" w:hAnsi="宋体" w:cs="宋体"/>
          <w:sz w:val="28"/>
          <w:szCs w:val="28"/>
        </w:rPr>
        <w:t>60-0%</w:t>
      </w:r>
      <w:r>
        <w:rPr>
          <w:rFonts w:hint="eastAsia" w:ascii="宋体" w:hAnsi="宋体" w:cs="宋体"/>
          <w:sz w:val="28"/>
          <w:szCs w:val="28"/>
        </w:rPr>
        <w:t>合理确定分值。各项绩效指标得分汇总成该项目自评总分。</w:t>
      </w:r>
    </w:p>
    <w:p>
      <w:pPr>
        <w:spacing w:line="600" w:lineRule="exact"/>
        <w:ind w:firstLine="560" w:firstLineChars="200"/>
        <w:rPr>
          <w:rFonts w:ascii="宋体" w:cs="宋体"/>
          <w:bCs/>
          <w:sz w:val="28"/>
          <w:szCs w:val="28"/>
        </w:rPr>
      </w:pPr>
      <w:r>
        <w:rPr>
          <w:rFonts w:hint="eastAsia" w:ascii="宋体" w:hAnsi="宋体" w:cs="宋体"/>
          <w:sz w:val="28"/>
          <w:szCs w:val="28"/>
        </w:rPr>
        <w:t>根据湖口县水利局农村贫困户改水项目的实际情况，我们采取数据复核分析、询问查证、实地查访、问卷调查、专家评议相结合的方法开展绩效评价工作。</w:t>
      </w:r>
    </w:p>
    <w:p>
      <w:pPr>
        <w:pStyle w:val="3"/>
        <w:rPr>
          <w:rFonts w:ascii="宋体" w:hAnsi="宋体" w:eastAsia="宋体" w:cs="宋体"/>
          <w:sz w:val="28"/>
          <w:szCs w:val="28"/>
        </w:rPr>
      </w:pPr>
      <w:bookmarkStart w:id="19" w:name="_Toc19288"/>
      <w:bookmarkStart w:id="20" w:name="_Toc10690_WPSOffice_Level2"/>
      <w:r>
        <w:rPr>
          <w:rFonts w:hint="eastAsia" w:ascii="宋体" w:hAnsi="宋体" w:eastAsia="宋体" w:cs="宋体"/>
          <w:sz w:val="28"/>
          <w:szCs w:val="28"/>
        </w:rPr>
        <w:t>（三）绩效评价实施</w:t>
      </w:r>
      <w:bookmarkEnd w:id="19"/>
      <w:bookmarkEnd w:id="20"/>
    </w:p>
    <w:p>
      <w:pPr>
        <w:spacing w:line="600" w:lineRule="exact"/>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、前期准备阶段。</w:t>
      </w:r>
    </w:p>
    <w:p>
      <w:pPr>
        <w:spacing w:line="560" w:lineRule="exact"/>
        <w:ind w:firstLine="560" w:firstLineChars="200"/>
        <w:rPr>
          <w:rFonts w:ascii="宋体" w:cs="宋体"/>
          <w:sz w:val="28"/>
          <w:szCs w:val="28"/>
        </w:rPr>
      </w:pPr>
      <w:r>
        <w:rPr>
          <w:rFonts w:hint="eastAsia" w:ascii="宋体" w:hAnsi="宋体" w:cs="宋体"/>
          <w:sz w:val="28"/>
          <w:szCs w:val="28"/>
        </w:rPr>
        <w:t>成立绩效评价小组，进入项目实施单位，开展调查研究、分析论证并形成绩效评价工作方案。同时，搜集有关文件资料，结合项目的实际情况，研发设计了绩效评价指标体系与基础报表体系，为后期的数据获取、现场核查做了充分的准备。</w:t>
      </w:r>
    </w:p>
    <w:p>
      <w:pPr>
        <w:spacing w:line="560" w:lineRule="exact"/>
        <w:ind w:firstLine="560" w:firstLineChars="200"/>
        <w:rPr>
          <w:rFonts w:ascii="宋体" w:cs="宋体"/>
          <w:sz w:val="28"/>
          <w:szCs w:val="28"/>
        </w:rPr>
      </w:pPr>
      <w:r>
        <w:rPr>
          <w:rFonts w:ascii="宋体" w:hAnsi="宋体" w:cs="宋体"/>
          <w:sz w:val="28"/>
          <w:szCs w:val="28"/>
        </w:rPr>
        <w:t>2</w:t>
      </w:r>
      <w:r>
        <w:rPr>
          <w:rFonts w:hint="eastAsia" w:ascii="宋体" w:hAnsi="宋体" w:cs="宋体"/>
          <w:sz w:val="28"/>
          <w:szCs w:val="28"/>
        </w:rPr>
        <w:t>、组织实施阶段</w:t>
      </w:r>
    </w:p>
    <w:p>
      <w:pPr>
        <w:spacing w:line="560" w:lineRule="exact"/>
        <w:ind w:firstLine="560" w:firstLineChars="200"/>
        <w:rPr>
          <w:rFonts w:ascii="宋体" w:cs="宋体"/>
          <w:sz w:val="28"/>
          <w:szCs w:val="28"/>
        </w:rPr>
      </w:pPr>
      <w:r>
        <w:rPr>
          <w:rFonts w:hint="eastAsia" w:ascii="宋体" w:hAnsi="宋体" w:cs="宋体"/>
          <w:sz w:val="28"/>
          <w:szCs w:val="28"/>
        </w:rPr>
        <w:t>对项目情况进行现场核查，核查内容包括绩效评价基础数据收集核对、项目资金的使用情况、绩效目标完成情况，项目的投入产出效果与效益，以及项目承担单位财务收支及精细化管理等方面的内容。</w:t>
      </w:r>
    </w:p>
    <w:p>
      <w:pPr>
        <w:spacing w:line="560" w:lineRule="exact"/>
        <w:ind w:firstLine="560" w:firstLineChars="200"/>
        <w:rPr>
          <w:rFonts w:ascii="宋体" w:cs="宋体"/>
          <w:sz w:val="28"/>
          <w:szCs w:val="28"/>
        </w:rPr>
      </w:pPr>
      <w:r>
        <w:rPr>
          <w:rFonts w:hint="eastAsia" w:ascii="宋体" w:hAnsi="宋体" w:cs="宋体"/>
          <w:sz w:val="28"/>
          <w:szCs w:val="28"/>
        </w:rPr>
        <w:t>评价工作组针对性地选取乡镇场区改水农户，面对面开展了现场问卷调查工作，对采集的基础数据进行认真细致核实，确保数据的完整、真实和有效，为形成客观的评价结论打下坚实基础。</w:t>
      </w:r>
    </w:p>
    <w:p>
      <w:pPr>
        <w:spacing w:line="560" w:lineRule="exact"/>
        <w:ind w:firstLine="560" w:firstLineChars="200"/>
        <w:rPr>
          <w:rFonts w:ascii="宋体" w:cs="宋体"/>
          <w:sz w:val="28"/>
          <w:szCs w:val="28"/>
        </w:rPr>
      </w:pPr>
      <w:r>
        <w:rPr>
          <w:rFonts w:ascii="宋体" w:hAnsi="宋体" w:cs="宋体"/>
          <w:sz w:val="28"/>
          <w:szCs w:val="28"/>
        </w:rPr>
        <w:t>3</w:t>
      </w:r>
      <w:r>
        <w:rPr>
          <w:rFonts w:hint="eastAsia" w:ascii="宋体" w:hAnsi="宋体" w:cs="宋体"/>
          <w:sz w:val="28"/>
          <w:szCs w:val="28"/>
        </w:rPr>
        <w:t>、综合评价阶段</w:t>
      </w:r>
    </w:p>
    <w:p>
      <w:pPr>
        <w:spacing w:line="560" w:lineRule="exact"/>
        <w:ind w:firstLine="560" w:firstLineChars="200"/>
        <w:rPr>
          <w:rFonts w:ascii="宋体" w:cs="宋体"/>
          <w:sz w:val="28"/>
          <w:szCs w:val="28"/>
        </w:rPr>
      </w:pPr>
      <w:r>
        <w:rPr>
          <w:rFonts w:hint="eastAsia" w:ascii="宋体" w:hAnsi="宋体" w:cs="宋体"/>
          <w:sz w:val="28"/>
          <w:szCs w:val="28"/>
        </w:rPr>
        <w:t>整理分析获取的基础数据等资料，依据制定的评价标准进行了评价指标打分，以定量和定性相结合的评价方法完成绩效评价报告。</w:t>
      </w:r>
    </w:p>
    <w:p>
      <w:pPr>
        <w:pStyle w:val="2"/>
        <w:rPr>
          <w:rFonts w:ascii="宋体" w:cs="宋体"/>
          <w:sz w:val="36"/>
          <w:szCs w:val="36"/>
        </w:rPr>
      </w:pPr>
      <w:bookmarkStart w:id="21" w:name="_Toc11748_WPSOffice_Level1"/>
      <w:bookmarkStart w:id="22" w:name="_Toc10190"/>
      <w:r>
        <w:rPr>
          <w:rFonts w:hint="eastAsia" w:ascii="宋体" w:hAnsi="宋体" w:cs="宋体"/>
          <w:sz w:val="36"/>
          <w:szCs w:val="36"/>
        </w:rPr>
        <w:t>三、绩效评价</w:t>
      </w:r>
      <w:bookmarkEnd w:id="21"/>
      <w:r>
        <w:rPr>
          <w:rFonts w:hint="eastAsia" w:ascii="宋体" w:hAnsi="宋体" w:cs="宋体"/>
          <w:sz w:val="36"/>
          <w:szCs w:val="36"/>
        </w:rPr>
        <w:t>分析</w:t>
      </w:r>
      <w:bookmarkEnd w:id="22"/>
    </w:p>
    <w:p>
      <w:pPr>
        <w:pStyle w:val="3"/>
        <w:rPr>
          <w:rFonts w:ascii="宋体" w:hAnsi="宋体" w:eastAsia="宋体" w:cs="宋体"/>
          <w:sz w:val="30"/>
          <w:szCs w:val="30"/>
        </w:rPr>
      </w:pPr>
      <w:bookmarkStart w:id="23" w:name="_Toc7629"/>
      <w:bookmarkStart w:id="24" w:name="_Toc15599_WPSOffice_Level2"/>
      <w:r>
        <w:rPr>
          <w:rFonts w:hint="eastAsia" w:ascii="宋体" w:hAnsi="宋体" w:eastAsia="宋体" w:cs="宋体"/>
          <w:sz w:val="30"/>
          <w:szCs w:val="30"/>
        </w:rPr>
        <w:t>（一）绩效评价结果</w:t>
      </w:r>
      <w:bookmarkEnd w:id="23"/>
      <w:bookmarkEnd w:id="24"/>
    </w:p>
    <w:p>
      <w:pPr>
        <w:spacing w:line="560" w:lineRule="exact"/>
        <w:ind w:firstLine="560" w:firstLineChars="200"/>
        <w:rPr>
          <w:rFonts w:ascii="宋体" w:cs="宋体"/>
          <w:bCs/>
          <w:sz w:val="28"/>
          <w:szCs w:val="28"/>
        </w:rPr>
      </w:pPr>
      <w:r>
        <w:rPr>
          <w:rFonts w:hint="eastAsia" w:ascii="宋体" w:hAnsi="宋体" w:cs="宋体"/>
          <w:bCs/>
          <w:sz w:val="28"/>
          <w:szCs w:val="28"/>
        </w:rPr>
        <w:t>本次绩效评价遵循科学规范、公开公正、绩效相关和抽样核查的原则，重点评价项目资金投入、项目过程管理、项目产出效果与效益、公众满意度等五个方面，得出</w:t>
      </w:r>
      <w:r>
        <w:rPr>
          <w:rFonts w:ascii="宋体" w:hAnsi="宋体" w:cs="宋体"/>
          <w:bCs/>
          <w:sz w:val="28"/>
          <w:szCs w:val="28"/>
        </w:rPr>
        <w:t>2019</w:t>
      </w:r>
      <w:r>
        <w:rPr>
          <w:rFonts w:hint="eastAsia" w:ascii="宋体" w:hAnsi="宋体" w:cs="宋体"/>
          <w:bCs/>
          <w:sz w:val="28"/>
          <w:szCs w:val="28"/>
        </w:rPr>
        <w:t>年</w:t>
      </w:r>
      <w:r>
        <w:rPr>
          <w:rFonts w:hint="eastAsia" w:ascii="宋体" w:hAnsi="宋体" w:cs="宋体"/>
          <w:sz w:val="28"/>
          <w:szCs w:val="28"/>
        </w:rPr>
        <w:t>湖口县农村贫困户改水项目</w:t>
      </w:r>
      <w:r>
        <w:rPr>
          <w:rFonts w:hint="eastAsia" w:ascii="宋体" w:hAnsi="宋体" w:cs="宋体"/>
          <w:bCs/>
          <w:sz w:val="28"/>
          <w:szCs w:val="28"/>
        </w:rPr>
        <w:t>绩效评价综合得分</w:t>
      </w:r>
      <w:r>
        <w:rPr>
          <w:rFonts w:ascii="宋体" w:hAnsi="宋体" w:cs="宋体"/>
          <w:b/>
          <w:sz w:val="28"/>
          <w:szCs w:val="28"/>
        </w:rPr>
        <w:t>88</w:t>
      </w:r>
      <w:r>
        <w:rPr>
          <w:rFonts w:hint="eastAsia" w:ascii="宋体" w:hAnsi="宋体" w:cs="宋体"/>
          <w:bCs/>
          <w:sz w:val="28"/>
          <w:szCs w:val="28"/>
        </w:rPr>
        <w:t>分，等级为“</w:t>
      </w:r>
      <w:r>
        <w:rPr>
          <w:rFonts w:hint="eastAsia" w:ascii="宋体" w:hAnsi="宋体" w:cs="宋体"/>
          <w:b/>
          <w:bCs/>
          <w:color w:val="000000"/>
          <w:kern w:val="0"/>
          <w:sz w:val="28"/>
          <w:szCs w:val="28"/>
        </w:rPr>
        <w:t>良</w:t>
      </w:r>
      <w:r>
        <w:rPr>
          <w:rFonts w:hint="eastAsia" w:ascii="宋体" w:hAnsi="宋体" w:cs="宋体"/>
          <w:bCs/>
          <w:sz w:val="28"/>
          <w:szCs w:val="28"/>
        </w:rPr>
        <w:t>”。</w:t>
      </w:r>
    </w:p>
    <w:p>
      <w:pPr>
        <w:pStyle w:val="3"/>
        <w:rPr>
          <w:rFonts w:ascii="宋体" w:hAnsi="宋体" w:eastAsia="宋体" w:cs="宋体"/>
          <w:sz w:val="30"/>
          <w:szCs w:val="30"/>
        </w:rPr>
      </w:pPr>
      <w:bookmarkStart w:id="25" w:name="_Toc29984"/>
      <w:bookmarkStart w:id="26" w:name="_Toc3737_WPSOffice_Level2"/>
      <w:r>
        <w:rPr>
          <w:rFonts w:hint="eastAsia" w:ascii="宋体" w:hAnsi="宋体" w:eastAsia="宋体" w:cs="宋体"/>
          <w:sz w:val="30"/>
          <w:szCs w:val="30"/>
        </w:rPr>
        <w:t>（二）目标完成情况评价</w:t>
      </w:r>
      <w:bookmarkEnd w:id="25"/>
      <w:bookmarkEnd w:id="26"/>
    </w:p>
    <w:p>
      <w:pPr>
        <w:spacing w:line="560" w:lineRule="exact"/>
        <w:ind w:firstLine="562" w:firstLineChars="200"/>
        <w:rPr>
          <w:rFonts w:ascii="宋体" w:cs="宋体"/>
          <w:b/>
          <w:bCs/>
          <w:sz w:val="28"/>
          <w:szCs w:val="28"/>
        </w:rPr>
      </w:pPr>
      <w:r>
        <w:rPr>
          <w:rFonts w:ascii="宋体" w:hAnsi="宋体" w:cs="宋体"/>
          <w:b/>
          <w:bCs/>
          <w:sz w:val="28"/>
          <w:szCs w:val="28"/>
        </w:rPr>
        <w:t>1</w:t>
      </w:r>
      <w:r>
        <w:rPr>
          <w:rFonts w:hint="eastAsia" w:ascii="宋体" w:hAnsi="宋体" w:cs="宋体"/>
          <w:b/>
          <w:bCs/>
          <w:sz w:val="28"/>
          <w:szCs w:val="28"/>
        </w:rPr>
        <w:t>、资金投入指标总分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p>
      <w:pPr>
        <w:spacing w:line="560" w:lineRule="exact"/>
        <w:ind w:firstLine="560" w:firstLineChars="200"/>
        <w:rPr>
          <w:rFonts w:ascii="宋体" w:cs="宋体"/>
          <w:sz w:val="28"/>
          <w:szCs w:val="28"/>
        </w:rPr>
      </w:pPr>
      <w:r>
        <w:rPr>
          <w:rFonts w:hint="eastAsia" w:ascii="宋体" w:hAnsi="宋体" w:cs="宋体"/>
          <w:sz w:val="28"/>
          <w:szCs w:val="28"/>
        </w:rPr>
        <w:t>一级指标“</w:t>
      </w:r>
      <w:r>
        <w:rPr>
          <w:rFonts w:hint="eastAsia" w:ascii="宋体" w:hAnsi="宋体" w:cs="宋体"/>
          <w:b/>
          <w:bCs/>
          <w:sz w:val="28"/>
          <w:szCs w:val="28"/>
        </w:rPr>
        <w:t>资金投入</w:t>
      </w:r>
      <w:r>
        <w:rPr>
          <w:rFonts w:hint="eastAsia" w:ascii="宋体" w:hAnsi="宋体" w:cs="宋体"/>
          <w:sz w:val="28"/>
          <w:szCs w:val="28"/>
        </w:rPr>
        <w:t>”下设“资金收支”二级指标及相应下设的“资金到位率”“预算执行率”</w:t>
      </w:r>
      <w:r>
        <w:rPr>
          <w:rFonts w:ascii="宋体" w:hAnsi="宋体" w:cs="宋体"/>
          <w:sz w:val="28"/>
          <w:szCs w:val="28"/>
        </w:rPr>
        <w:t xml:space="preserve">2 </w:t>
      </w:r>
      <w:r>
        <w:rPr>
          <w:rFonts w:hint="eastAsia" w:ascii="宋体" w:hAnsi="宋体" w:cs="宋体"/>
          <w:sz w:val="28"/>
          <w:szCs w:val="28"/>
        </w:rPr>
        <w:t>个三级指标。经过检查分析等绩效评价工作确认各指标得分情况如下：</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795"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56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按预算执行比率计算得分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3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按预算到位比率计算得分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2"/>
                <w:szCs w:val="22"/>
              </w:rPr>
              <w:t>5</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60" w:lineRule="exact"/>
        <w:ind w:firstLine="560" w:firstLineChars="200"/>
        <w:rPr>
          <w:rFonts w:ascii="宋体" w:cs="宋体"/>
          <w:sz w:val="28"/>
          <w:szCs w:val="28"/>
        </w:rPr>
      </w:pPr>
    </w:p>
    <w:p>
      <w:pPr>
        <w:spacing w:line="560" w:lineRule="exact"/>
        <w:ind w:firstLine="562" w:firstLineChars="200"/>
        <w:rPr>
          <w:rFonts w:ascii="宋体" w:cs="宋体"/>
          <w:b/>
          <w:bCs/>
          <w:sz w:val="28"/>
          <w:szCs w:val="28"/>
        </w:rPr>
      </w:pPr>
      <w:r>
        <w:rPr>
          <w:rFonts w:ascii="宋体" w:hAnsi="宋体" w:cs="宋体"/>
          <w:b/>
          <w:bCs/>
          <w:sz w:val="28"/>
          <w:szCs w:val="28"/>
        </w:rPr>
        <w:t>2</w:t>
      </w:r>
      <w:r>
        <w:rPr>
          <w:rFonts w:hint="eastAsia" w:ascii="宋体" w:hAnsi="宋体" w:cs="宋体"/>
          <w:b/>
          <w:bCs/>
          <w:sz w:val="28"/>
          <w:szCs w:val="28"/>
        </w:rPr>
        <w:t>、过程管理指标总分</w:t>
      </w:r>
      <w:r>
        <w:rPr>
          <w:rFonts w:ascii="宋体" w:hAnsi="宋体" w:cs="宋体"/>
          <w:b/>
          <w:bCs/>
          <w:sz w:val="28"/>
          <w:szCs w:val="28"/>
        </w:rPr>
        <w:t>20</w:t>
      </w:r>
      <w:r>
        <w:rPr>
          <w:rFonts w:hint="eastAsia" w:ascii="宋体" w:hAnsi="宋体" w:cs="宋体"/>
          <w:b/>
          <w:bCs/>
          <w:sz w:val="28"/>
          <w:szCs w:val="28"/>
        </w:rPr>
        <w:t>分，得分</w:t>
      </w:r>
      <w:r>
        <w:rPr>
          <w:rFonts w:ascii="宋体" w:hAnsi="宋体" w:cs="宋体"/>
          <w:b/>
          <w:bCs/>
          <w:sz w:val="28"/>
          <w:szCs w:val="28"/>
        </w:rPr>
        <w:t>1</w:t>
      </w:r>
      <w:r>
        <w:rPr>
          <w:rFonts w:hint="eastAsia" w:ascii="宋体" w:hAnsi="宋体" w:cs="宋体"/>
          <w:b/>
          <w:bCs/>
          <w:sz w:val="28"/>
          <w:szCs w:val="28"/>
          <w:lang w:val="en-US" w:eastAsia="zh-CN"/>
        </w:rPr>
        <w:t>5</w:t>
      </w:r>
      <w:r>
        <w:rPr>
          <w:rFonts w:hint="eastAsia" w:ascii="宋体" w:hAnsi="宋体" w:cs="宋体"/>
          <w:b/>
          <w:bCs/>
          <w:sz w:val="28"/>
          <w:szCs w:val="28"/>
        </w:rPr>
        <w:t>分，扣</w:t>
      </w:r>
      <w:r>
        <w:rPr>
          <w:rFonts w:hint="eastAsia" w:ascii="宋体" w:hAnsi="宋体" w:cs="宋体"/>
          <w:b/>
          <w:bCs/>
          <w:sz w:val="28"/>
          <w:szCs w:val="28"/>
          <w:lang w:val="en-US" w:eastAsia="zh-CN"/>
        </w:rPr>
        <w:t>5</w:t>
      </w:r>
      <w:r>
        <w:rPr>
          <w:rFonts w:hint="eastAsia" w:ascii="宋体" w:hAnsi="宋体" w:cs="宋体"/>
          <w:b/>
          <w:bCs/>
          <w:sz w:val="28"/>
          <w:szCs w:val="28"/>
        </w:rPr>
        <w:t>分。</w:t>
      </w:r>
    </w:p>
    <w:p>
      <w:pPr>
        <w:spacing w:line="560" w:lineRule="exact"/>
        <w:ind w:firstLine="560" w:firstLineChars="200"/>
        <w:rPr>
          <w:rFonts w:ascii="宋体" w:cs="宋体"/>
          <w:sz w:val="28"/>
          <w:szCs w:val="28"/>
        </w:rPr>
      </w:pPr>
      <w:r>
        <w:rPr>
          <w:rFonts w:hint="eastAsia" w:ascii="宋体" w:hAnsi="宋体" w:cs="宋体"/>
          <w:sz w:val="28"/>
          <w:szCs w:val="28"/>
        </w:rPr>
        <w:t>一级指标“</w:t>
      </w:r>
      <w:r>
        <w:rPr>
          <w:rFonts w:hint="eastAsia" w:ascii="宋体" w:hAnsi="宋体" w:cs="宋体"/>
          <w:b/>
          <w:bCs/>
          <w:sz w:val="28"/>
          <w:szCs w:val="28"/>
        </w:rPr>
        <w:t>过程管理</w:t>
      </w:r>
      <w:r>
        <w:rPr>
          <w:rFonts w:hint="eastAsia" w:ascii="宋体" w:hAnsi="宋体" w:cs="宋体"/>
          <w:sz w:val="28"/>
          <w:szCs w:val="28"/>
        </w:rPr>
        <w:t>”下设“业务管理”、“财务管理”二级指标及相应下设的“改水工程及劳务采购合规性”“绩效目标合理性”；“专项资金预算审批管理”、“专项资金管理制度健全性”、“资金使用合规性”</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个三级指标。经过检查分析等绩效评价工作确认各指标得分情况如下：</w:t>
      </w:r>
    </w:p>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1</w:t>
      </w:r>
      <w:r>
        <w:rPr>
          <w:rFonts w:hint="eastAsia" w:ascii="宋体" w:hAnsi="宋体" w:cs="宋体"/>
          <w:b/>
          <w:bCs/>
          <w:sz w:val="28"/>
          <w:szCs w:val="28"/>
        </w:rPr>
        <w:t>）业务管理总分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5</w:t>
      </w:r>
      <w:r>
        <w:rPr>
          <w:rFonts w:hint="eastAsia" w:ascii="宋体" w:hAnsi="宋体" w:cs="宋体"/>
          <w:b/>
          <w:bCs/>
          <w:sz w:val="28"/>
          <w:szCs w:val="28"/>
        </w:rPr>
        <w:t>分，其中绩效目标表过于简单，明细指标及评分要素设计不合理，扣</w:t>
      </w:r>
      <w:r>
        <w:rPr>
          <w:rFonts w:ascii="宋体" w:hAnsi="宋体" w:cs="宋体"/>
          <w:b/>
          <w:bCs/>
          <w:sz w:val="28"/>
          <w:szCs w:val="28"/>
        </w:rPr>
        <w:t>3</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2599"/>
        <w:gridCol w:w="777"/>
        <w:gridCol w:w="720"/>
        <w:gridCol w:w="410"/>
        <w:gridCol w:w="443"/>
        <w:gridCol w:w="1734"/>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2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04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改水工程及劳务采购合规性</w:t>
            </w:r>
          </w:p>
        </w:tc>
        <w:tc>
          <w:tcPr>
            <w:tcW w:w="15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①工程及商品采购合规②政府采购流程合法、高效。</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04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各区集中供水工程均由水厂等合格单位提供，分散供水也依规进行监督和项目验收。</w:t>
            </w: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绩效目标合理性</w:t>
            </w:r>
          </w:p>
        </w:tc>
        <w:tc>
          <w:tcPr>
            <w:tcW w:w="15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①项目是否有完整绩效目标表；②指标是否可通过清晰、可衡量的数据予以体现；③是否与项目目标任务相对应。</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4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1</w:t>
            </w:r>
          </w:p>
        </w:tc>
        <w:tc>
          <w:tcPr>
            <w:tcW w:w="104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绩效目标表过于简单，明细指标及评分要素设计不合理，扣</w:t>
            </w:r>
            <w:r>
              <w:rPr>
                <w:rFonts w:ascii="宋体" w:hAnsi="宋体" w:cs="宋体"/>
                <w:color w:val="000000"/>
                <w:kern w:val="0"/>
                <w:sz w:val="22"/>
                <w:szCs w:val="22"/>
              </w:rPr>
              <w:t>3</w:t>
            </w:r>
            <w:r>
              <w:rPr>
                <w:rFonts w:hint="eastAsia" w:ascii="宋体" w:hAnsi="宋体" w:cs="宋体"/>
                <w:color w:val="000000"/>
                <w:kern w:val="0"/>
                <w:sz w:val="22"/>
                <w:szCs w:val="22"/>
              </w:rPr>
              <w:t>分</w:t>
            </w: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2</w:t>
      </w:r>
      <w:r>
        <w:rPr>
          <w:rFonts w:hint="eastAsia" w:ascii="宋体" w:hAnsi="宋体" w:cs="宋体"/>
          <w:b/>
          <w:bCs/>
          <w:sz w:val="28"/>
          <w:szCs w:val="28"/>
        </w:rPr>
        <w:t>）财务管理总分</w:t>
      </w:r>
      <w:r>
        <w:rPr>
          <w:rFonts w:ascii="宋体" w:hAnsi="宋体" w:cs="宋体"/>
          <w:b/>
          <w:bCs/>
          <w:sz w:val="28"/>
          <w:szCs w:val="28"/>
        </w:rPr>
        <w:t>12</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分，其中年度专项资金支出，财务汇总一笔凭证处理，未及时登记入账不利于资金使用监管，扣</w:t>
      </w:r>
      <w:r>
        <w:rPr>
          <w:rFonts w:ascii="宋体" w:hAnsi="宋体" w:cs="宋体"/>
          <w:b/>
          <w:bCs/>
          <w:sz w:val="28"/>
          <w:szCs w:val="28"/>
        </w:rPr>
        <w:t>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387"/>
        <w:gridCol w:w="480"/>
        <w:gridCol w:w="172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2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2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0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926"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专项资金预算审批管理</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①专项资金预算申请报告文件完整、流程规范。②专项资金审批流程合规。</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2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2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4</w:t>
            </w:r>
          </w:p>
        </w:tc>
        <w:tc>
          <w:tcPr>
            <w:tcW w:w="10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专项资金管理制度健全性</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①制定专项资金管理办法；②专项资金独立专账核算，③开展专项资金监管工作。</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2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2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2</w:t>
            </w:r>
          </w:p>
        </w:tc>
        <w:tc>
          <w:tcPr>
            <w:tcW w:w="10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年度专项资金支出，财务汇总一笔凭证处理，未及时登记入账不利于资金使用监管。扣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资金使用合规性</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2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28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4</w:t>
            </w:r>
          </w:p>
        </w:tc>
        <w:tc>
          <w:tcPr>
            <w:tcW w:w="10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0" w:firstLineChars="200"/>
        <w:rPr>
          <w:rFonts w:ascii="宋体" w:cs="宋体"/>
          <w:b/>
          <w:bCs/>
          <w:sz w:val="28"/>
          <w:szCs w:val="28"/>
        </w:rPr>
      </w:pPr>
      <w:r>
        <w:rPr>
          <w:rFonts w:ascii="宋体" w:hAnsi="宋体" w:cs="宋体"/>
          <w:bCs/>
          <w:sz w:val="28"/>
          <w:szCs w:val="28"/>
        </w:rPr>
        <w:t>3</w:t>
      </w:r>
      <w:r>
        <w:rPr>
          <w:rFonts w:hint="eastAsia" w:ascii="宋体" w:hAnsi="宋体" w:cs="宋体"/>
          <w:bCs/>
          <w:sz w:val="28"/>
          <w:szCs w:val="28"/>
        </w:rPr>
        <w:t>、</w:t>
      </w:r>
      <w:r>
        <w:rPr>
          <w:rFonts w:hint="eastAsia" w:ascii="宋体" w:hAnsi="宋体" w:cs="宋体"/>
          <w:b/>
          <w:bCs/>
          <w:sz w:val="28"/>
          <w:szCs w:val="28"/>
        </w:rPr>
        <w:t>产出指标总分</w:t>
      </w:r>
      <w:r>
        <w:rPr>
          <w:rFonts w:ascii="宋体" w:hAnsi="宋体" w:cs="宋体"/>
          <w:b/>
          <w:bCs/>
          <w:sz w:val="28"/>
          <w:szCs w:val="28"/>
        </w:rPr>
        <w:t>30</w:t>
      </w:r>
      <w:r>
        <w:rPr>
          <w:rFonts w:hint="eastAsia" w:ascii="宋体" w:hAnsi="宋体" w:cs="宋体"/>
          <w:b/>
          <w:bCs/>
          <w:sz w:val="28"/>
          <w:szCs w:val="28"/>
        </w:rPr>
        <w:t>分，得分</w:t>
      </w:r>
      <w:r>
        <w:rPr>
          <w:rFonts w:ascii="宋体" w:hAnsi="宋体" w:cs="宋体"/>
          <w:b/>
          <w:bCs/>
          <w:sz w:val="28"/>
          <w:szCs w:val="28"/>
        </w:rPr>
        <w:t>28</w:t>
      </w:r>
      <w:r>
        <w:rPr>
          <w:rFonts w:hint="eastAsia" w:ascii="宋体" w:hAnsi="宋体" w:cs="宋体"/>
          <w:b/>
          <w:bCs/>
          <w:sz w:val="28"/>
          <w:szCs w:val="28"/>
        </w:rPr>
        <w:t>分。</w:t>
      </w:r>
    </w:p>
    <w:p>
      <w:pPr>
        <w:spacing w:line="520" w:lineRule="exact"/>
        <w:ind w:firstLine="560" w:firstLineChars="200"/>
        <w:rPr>
          <w:rFonts w:ascii="宋体" w:cs="宋体"/>
          <w:sz w:val="28"/>
          <w:szCs w:val="28"/>
        </w:rPr>
      </w:pPr>
      <w:r>
        <w:rPr>
          <w:rFonts w:hint="eastAsia" w:ascii="宋体" w:hAnsi="宋体" w:cs="宋体"/>
          <w:sz w:val="28"/>
          <w:szCs w:val="28"/>
        </w:rPr>
        <w:t>一级指标“产出指标”下设“产出数量”、“产出质量”、“产出时效”、“产出成本”等</w:t>
      </w:r>
      <w:r>
        <w:rPr>
          <w:rFonts w:ascii="宋体" w:hAnsi="宋体" w:cs="宋体"/>
          <w:sz w:val="28"/>
          <w:szCs w:val="28"/>
        </w:rPr>
        <w:t xml:space="preserve"> 4 </w:t>
      </w:r>
      <w:r>
        <w:rPr>
          <w:rFonts w:hint="eastAsia" w:ascii="宋体" w:hAnsi="宋体" w:cs="宋体"/>
          <w:sz w:val="28"/>
          <w:szCs w:val="28"/>
        </w:rPr>
        <w:t>个二级指标及相应下设的“贫困户饮水工程建档立卡人数”“居民改水工程合格情况”等</w:t>
      </w:r>
      <w:r>
        <w:rPr>
          <w:rFonts w:ascii="宋体" w:hAnsi="宋体" w:cs="宋体"/>
          <w:sz w:val="28"/>
          <w:szCs w:val="28"/>
        </w:rPr>
        <w:t xml:space="preserve">8 </w:t>
      </w:r>
      <w:r>
        <w:rPr>
          <w:rFonts w:hint="eastAsia" w:ascii="宋体" w:hAnsi="宋体" w:cs="宋体"/>
          <w:sz w:val="28"/>
          <w:szCs w:val="28"/>
        </w:rPr>
        <w:t>个三级指标。经过检查分析等绩效评价工作确认各指标明细得分情况如下：</w:t>
      </w:r>
    </w:p>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1</w:t>
      </w:r>
      <w:r>
        <w:rPr>
          <w:rFonts w:hint="eastAsia" w:ascii="宋体" w:hAnsi="宋体" w:cs="宋体"/>
          <w:b/>
          <w:bCs/>
          <w:sz w:val="28"/>
          <w:szCs w:val="28"/>
        </w:rPr>
        <w:t>）产出数量总分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改水工程实施地区数</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贫困户饮水工程覆盖全县地区得分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贫困户饮水工程建档立卡人数</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根据达成目标值比例计算得分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1388</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1388</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贫困户饮水工程建档立卡户数</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根据达成目标值比例计算得分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496</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496</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2</w:t>
      </w:r>
      <w:r>
        <w:rPr>
          <w:rFonts w:hint="eastAsia" w:ascii="宋体" w:hAnsi="宋体" w:cs="宋体"/>
          <w:b/>
          <w:bCs/>
          <w:sz w:val="28"/>
          <w:szCs w:val="28"/>
        </w:rPr>
        <w:t>）产出质量总分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2599"/>
        <w:gridCol w:w="777"/>
        <w:gridCol w:w="720"/>
        <w:gridCol w:w="350"/>
        <w:gridCol w:w="492"/>
        <w:gridCol w:w="1745"/>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21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29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0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居民改水工程合格情况</w:t>
            </w:r>
          </w:p>
        </w:tc>
        <w:tc>
          <w:tcPr>
            <w:tcW w:w="15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根据工程验收合格率评价得分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21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9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2</w:t>
            </w:r>
          </w:p>
        </w:tc>
        <w:tc>
          <w:tcPr>
            <w:tcW w:w="10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有相当部分地区改水工程验收报告中无户主签名，部分地区取证拍照未按规定要求。扣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供水工程设计施工符合法规标准</w:t>
            </w:r>
          </w:p>
        </w:tc>
        <w:tc>
          <w:tcPr>
            <w:tcW w:w="15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根据工程设计施工合格情况评价得分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21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295"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4"/>
              </w:rPr>
              <w:t>4</w:t>
            </w:r>
          </w:p>
        </w:tc>
        <w:tc>
          <w:tcPr>
            <w:tcW w:w="104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kern w:val="0"/>
                <w:sz w:val="22"/>
                <w:szCs w:val="22"/>
              </w:rPr>
            </w:pP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3</w:t>
      </w:r>
      <w:r>
        <w:rPr>
          <w:rFonts w:hint="eastAsia" w:ascii="宋体" w:hAnsi="宋体" w:cs="宋体"/>
          <w:b/>
          <w:bCs/>
          <w:sz w:val="28"/>
          <w:szCs w:val="28"/>
        </w:rPr>
        <w:t>）产出时效指标总分</w:t>
      </w:r>
      <w:r>
        <w:rPr>
          <w:rFonts w:ascii="宋体" w:hAnsi="宋体" w:cs="宋体"/>
          <w:b/>
          <w:bCs/>
          <w:sz w:val="28"/>
          <w:szCs w:val="28"/>
        </w:rPr>
        <w:t>8</w:t>
      </w:r>
      <w:r>
        <w:rPr>
          <w:rFonts w:hint="eastAsia" w:ascii="宋体" w:hAnsi="宋体" w:cs="宋体"/>
          <w:b/>
          <w:bCs/>
          <w:sz w:val="28"/>
          <w:szCs w:val="28"/>
        </w:rPr>
        <w:t>分，得分</w:t>
      </w:r>
      <w:r>
        <w:rPr>
          <w:rFonts w:ascii="宋体" w:hAnsi="宋体" w:cs="宋体"/>
          <w:b/>
          <w:bCs/>
          <w:sz w:val="28"/>
          <w:szCs w:val="28"/>
        </w:rPr>
        <w:t>8</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按时完工情况</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在项目规定时间完工得分，未按时完成不得分。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工程按计划于</w:t>
            </w:r>
            <w:r>
              <w:rPr>
                <w:rFonts w:ascii="宋体" w:hAnsi="宋体" w:cs="宋体"/>
                <w:color w:val="000000"/>
                <w:kern w:val="0"/>
                <w:sz w:val="22"/>
                <w:szCs w:val="22"/>
              </w:rPr>
              <w:t>2019</w:t>
            </w:r>
            <w:r>
              <w:rPr>
                <w:rFonts w:hint="eastAsia" w:ascii="宋体" w:hAnsi="宋体" w:cs="宋体"/>
                <w:color w:val="000000"/>
                <w:kern w:val="0"/>
                <w:sz w:val="22"/>
                <w:szCs w:val="22"/>
              </w:rPr>
              <w:t>年底完工验收</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ascii="宋体" w:hAnsi="宋体" w:cs="宋体"/>
                <w:color w:val="000000"/>
                <w:kern w:val="0"/>
                <w:sz w:val="22"/>
                <w:szCs w:val="22"/>
              </w:rPr>
              <w:t>24</w:t>
            </w:r>
            <w:r>
              <w:rPr>
                <w:rFonts w:hint="eastAsia" w:ascii="宋体" w:hAnsi="宋体" w:cs="宋体"/>
                <w:color w:val="000000"/>
                <w:kern w:val="0"/>
                <w:sz w:val="22"/>
                <w:szCs w:val="22"/>
              </w:rPr>
              <w:t>小时内故障处理完成率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处理完成率</w:t>
            </w:r>
            <w:r>
              <w:rPr>
                <w:rFonts w:ascii="宋体" w:hAnsi="宋体" w:cs="宋体"/>
                <w:color w:val="000000"/>
                <w:kern w:val="0"/>
                <w:sz w:val="22"/>
                <w:szCs w:val="22"/>
              </w:rPr>
              <w:t>90%</w:t>
            </w:r>
            <w:r>
              <w:rPr>
                <w:rFonts w:hint="eastAsia" w:ascii="宋体" w:hAnsi="宋体" w:cs="宋体"/>
                <w:color w:val="000000"/>
                <w:kern w:val="0"/>
                <w:sz w:val="22"/>
                <w:szCs w:val="22"/>
              </w:rPr>
              <w:t>以上得分，每少</w:t>
            </w:r>
            <w:r>
              <w:rPr>
                <w:rFonts w:ascii="宋体" w:hAnsi="宋体" w:cs="宋体"/>
                <w:color w:val="000000"/>
                <w:kern w:val="0"/>
                <w:sz w:val="22"/>
                <w:szCs w:val="22"/>
              </w:rPr>
              <w:t>5</w:t>
            </w:r>
            <w:r>
              <w:rPr>
                <w:rFonts w:hint="eastAsia" w:ascii="宋体" w:hAnsi="宋体" w:cs="宋体"/>
                <w:color w:val="000000"/>
                <w:kern w:val="0"/>
                <w:sz w:val="22"/>
                <w:szCs w:val="22"/>
              </w:rPr>
              <w:t>个百分点扣</w:t>
            </w:r>
            <w:r>
              <w:rPr>
                <w:rFonts w:ascii="宋体" w:hAnsi="宋体" w:cs="宋体"/>
                <w:color w:val="000000"/>
                <w:kern w:val="0"/>
                <w:sz w:val="22"/>
                <w:szCs w:val="22"/>
              </w:rPr>
              <w:t>1</w:t>
            </w:r>
            <w:r>
              <w:rPr>
                <w:rFonts w:hint="eastAsia" w:ascii="宋体" w:hAnsi="宋体" w:cs="宋体"/>
                <w:color w:val="000000"/>
                <w:kern w:val="0"/>
                <w:sz w:val="22"/>
                <w:szCs w:val="22"/>
              </w:rPr>
              <w:t>分，扣完即止</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90%</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100%</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4"/>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供水故障及时维修处理</w:t>
            </w: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4</w:t>
      </w:r>
      <w:r>
        <w:rPr>
          <w:rFonts w:hint="eastAsia" w:ascii="宋体" w:hAnsi="宋体" w:cs="宋体"/>
          <w:b/>
          <w:bCs/>
          <w:sz w:val="28"/>
          <w:szCs w:val="28"/>
        </w:rPr>
        <w:t>）成本指标总分</w:t>
      </w:r>
      <w:r>
        <w:rPr>
          <w:rFonts w:ascii="宋体" w:hAnsi="宋体" w:cs="宋体"/>
          <w:b/>
          <w:bCs/>
          <w:sz w:val="28"/>
          <w:szCs w:val="28"/>
        </w:rPr>
        <w:t>4</w:t>
      </w:r>
      <w:r>
        <w:rPr>
          <w:rFonts w:hint="eastAsia" w:ascii="宋体" w:hAnsi="宋体" w:cs="宋体"/>
          <w:b/>
          <w:bCs/>
          <w:sz w:val="28"/>
          <w:szCs w:val="28"/>
        </w:rPr>
        <w:t>分，得分</w:t>
      </w:r>
      <w:r>
        <w:rPr>
          <w:rFonts w:ascii="宋体" w:hAnsi="宋体" w:cs="宋体"/>
          <w:b/>
          <w:bCs/>
          <w:sz w:val="28"/>
          <w:szCs w:val="28"/>
        </w:rPr>
        <w:t>4</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每户补助标准</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投资低于预算得分，高于预算</w:t>
            </w:r>
            <w:r>
              <w:rPr>
                <w:rFonts w:ascii="宋体" w:cs="宋体"/>
                <w:color w:val="000000"/>
                <w:kern w:val="0"/>
                <w:sz w:val="22"/>
                <w:szCs w:val="22"/>
              </w:rPr>
              <w:t>0</w:t>
            </w:r>
            <w:r>
              <w:rPr>
                <w:rFonts w:hint="eastAsia" w:ascii="宋体" w:hAnsi="宋体" w:cs="宋体"/>
                <w:color w:val="000000"/>
                <w:kern w:val="0"/>
                <w:sz w:val="22"/>
                <w:szCs w:val="22"/>
              </w:rPr>
              <w:t>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2000</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2000</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2" w:firstLineChars="200"/>
        <w:rPr>
          <w:rFonts w:ascii="宋体" w:cs="宋体"/>
          <w:b/>
          <w:sz w:val="28"/>
          <w:szCs w:val="28"/>
        </w:rPr>
      </w:pPr>
    </w:p>
    <w:p>
      <w:pPr>
        <w:spacing w:line="520" w:lineRule="exact"/>
        <w:ind w:right="85" w:firstLine="562" w:firstLineChars="200"/>
        <w:rPr>
          <w:rFonts w:ascii="宋体" w:cs="宋体"/>
          <w:b/>
          <w:sz w:val="28"/>
          <w:szCs w:val="28"/>
        </w:rPr>
      </w:pPr>
      <w:r>
        <w:rPr>
          <w:rFonts w:ascii="宋体" w:hAnsi="宋体" w:cs="宋体"/>
          <w:b/>
          <w:sz w:val="28"/>
          <w:szCs w:val="28"/>
        </w:rPr>
        <w:t>4</w:t>
      </w:r>
      <w:r>
        <w:rPr>
          <w:rFonts w:hint="eastAsia" w:ascii="宋体" w:hAnsi="宋体" w:cs="宋体"/>
          <w:b/>
          <w:sz w:val="28"/>
          <w:szCs w:val="28"/>
        </w:rPr>
        <w:t>、效益指标总分</w:t>
      </w:r>
      <w:r>
        <w:rPr>
          <w:rFonts w:ascii="宋体" w:hAnsi="宋体" w:cs="宋体"/>
          <w:b/>
          <w:sz w:val="28"/>
          <w:szCs w:val="28"/>
        </w:rPr>
        <w:t>30</w:t>
      </w:r>
      <w:r>
        <w:rPr>
          <w:rFonts w:hint="eastAsia" w:ascii="宋体" w:hAnsi="宋体" w:cs="宋体"/>
          <w:b/>
          <w:sz w:val="28"/>
          <w:szCs w:val="28"/>
        </w:rPr>
        <w:t>分，得分</w:t>
      </w:r>
      <w:r>
        <w:rPr>
          <w:rFonts w:ascii="宋体" w:hAnsi="宋体" w:cs="宋体"/>
          <w:b/>
          <w:sz w:val="28"/>
          <w:szCs w:val="28"/>
        </w:rPr>
        <w:t>28</w:t>
      </w:r>
      <w:r>
        <w:rPr>
          <w:rFonts w:hint="eastAsia" w:ascii="宋体" w:hAnsi="宋体" w:cs="宋体"/>
          <w:b/>
          <w:sz w:val="28"/>
          <w:szCs w:val="28"/>
        </w:rPr>
        <w:t>分。</w:t>
      </w:r>
    </w:p>
    <w:p>
      <w:pPr>
        <w:spacing w:line="520" w:lineRule="exact"/>
        <w:ind w:firstLine="560" w:firstLineChars="200"/>
        <w:rPr>
          <w:rFonts w:ascii="宋体" w:cs="宋体"/>
          <w:sz w:val="28"/>
          <w:szCs w:val="28"/>
        </w:rPr>
      </w:pPr>
      <w:r>
        <w:rPr>
          <w:rFonts w:hint="eastAsia" w:ascii="宋体" w:hAnsi="宋体" w:cs="宋体"/>
          <w:sz w:val="28"/>
          <w:szCs w:val="28"/>
        </w:rPr>
        <w:t>一级指标“效益指标”下设“经济效益”、“社会效益”、“可持续影响”“生态效益”</w:t>
      </w:r>
      <w:r>
        <w:rPr>
          <w:rFonts w:ascii="宋体" w:hAnsi="宋体" w:cs="宋体"/>
          <w:sz w:val="28"/>
          <w:szCs w:val="28"/>
        </w:rPr>
        <w:t xml:space="preserve"> 4 </w:t>
      </w:r>
      <w:r>
        <w:rPr>
          <w:rFonts w:hint="eastAsia" w:ascii="宋体" w:hAnsi="宋体" w:cs="宋体"/>
          <w:sz w:val="28"/>
          <w:szCs w:val="28"/>
        </w:rPr>
        <w:t>个二级指标及相应下设的“提高贫困户生活质量”“改善干群关系，助力社会和谐稳定。”等</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个三级指标。经过检查分析等绩效评价工作确认各指标明细得分情况如下：</w:t>
      </w:r>
    </w:p>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经济效益总分</w:t>
      </w:r>
      <w:r>
        <w:rPr>
          <w:rFonts w:ascii="宋体" w:hAnsi="宋体" w:cs="宋体"/>
          <w:b/>
          <w:bCs/>
          <w:sz w:val="28"/>
          <w:szCs w:val="28"/>
        </w:rPr>
        <w:t>5</w:t>
      </w:r>
      <w:r>
        <w:rPr>
          <w:rFonts w:hint="eastAsia" w:ascii="宋体" w:hAnsi="宋体" w:cs="宋体"/>
          <w:b/>
          <w:bCs/>
          <w:sz w:val="28"/>
          <w:szCs w:val="28"/>
        </w:rPr>
        <w:t>分，得分</w:t>
      </w:r>
      <w:r>
        <w:rPr>
          <w:rFonts w:ascii="宋体" w:hAnsi="宋体" w:cs="宋体"/>
          <w:b/>
          <w:bCs/>
          <w:sz w:val="28"/>
          <w:szCs w:val="28"/>
        </w:rPr>
        <w:t>5</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减少改水户工程开支，增加家庭收入</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社会效益总分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987"/>
        <w:gridCol w:w="902"/>
        <w:gridCol w:w="840"/>
        <w:gridCol w:w="765"/>
        <w:gridCol w:w="765"/>
        <w:gridCol w:w="2424"/>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5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45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提高贫困户生活质量</w:t>
            </w: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9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4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6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改善干群关系，助力社会和谐稳定。</w:t>
            </w:r>
          </w:p>
        </w:tc>
        <w:tc>
          <w:tcPr>
            <w:tcW w:w="98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根据改善程度评价打分</w:t>
            </w:r>
          </w:p>
        </w:tc>
        <w:tc>
          <w:tcPr>
            <w:tcW w:w="9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改善</w:t>
            </w: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改善</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5</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5</w:t>
            </w:r>
          </w:p>
        </w:tc>
        <w:tc>
          <w:tcPr>
            <w:tcW w:w="24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生态效益指标总分</w:t>
      </w:r>
      <w:r>
        <w:rPr>
          <w:rFonts w:ascii="宋体" w:hAnsi="宋体" w:cs="宋体"/>
          <w:b/>
          <w:bCs/>
          <w:sz w:val="28"/>
          <w:szCs w:val="28"/>
        </w:rPr>
        <w:t>5</w:t>
      </w:r>
      <w:r>
        <w:rPr>
          <w:rFonts w:hint="eastAsia" w:ascii="宋体" w:hAnsi="宋体" w:cs="宋体"/>
          <w:b/>
          <w:bCs/>
          <w:sz w:val="28"/>
          <w:szCs w:val="28"/>
        </w:rPr>
        <w:t>分，得分</w:t>
      </w:r>
      <w:r>
        <w:rPr>
          <w:rFonts w:ascii="宋体" w:hAnsi="宋体" w:cs="宋体"/>
          <w:b/>
          <w:bCs/>
          <w:sz w:val="28"/>
          <w:szCs w:val="28"/>
        </w:rPr>
        <w:t>5</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减少地表水污染</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可持续影响总分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8</w:t>
      </w:r>
      <w:r>
        <w:rPr>
          <w:rFonts w:hint="eastAsia" w:ascii="宋体" w:hAnsi="宋体" w:cs="宋体"/>
          <w:b/>
          <w:bCs/>
          <w:sz w:val="28"/>
          <w:szCs w:val="28"/>
        </w:rPr>
        <w:t>分，扣</w:t>
      </w:r>
      <w:r>
        <w:rPr>
          <w:rFonts w:ascii="宋体" w:hAnsi="宋体" w:cs="宋体"/>
          <w:b/>
          <w:bCs/>
          <w:sz w:val="28"/>
          <w:szCs w:val="28"/>
        </w:rPr>
        <w:t>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402"/>
        <w:gridCol w:w="1921"/>
        <w:gridCol w:w="827"/>
        <w:gridCol w:w="720"/>
        <w:gridCol w:w="660"/>
        <w:gridCol w:w="707"/>
        <w:gridCol w:w="2094"/>
      </w:tblGrid>
      <w:tr>
        <w:tblPrEx>
          <w:tblCellMar>
            <w:top w:w="0" w:type="dxa"/>
            <w:left w:w="0" w:type="dxa"/>
            <w:bottom w:w="0" w:type="dxa"/>
            <w:right w:w="0" w:type="dxa"/>
          </w:tblCellMar>
        </w:tblPrEx>
        <w:trPr>
          <w:trHeight w:val="880" w:hRule="atLeast"/>
        </w:trPr>
        <w:tc>
          <w:tcPr>
            <w:tcW w:w="8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1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42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25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8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供水工程管养、生活污水管理</w:t>
            </w:r>
          </w:p>
        </w:tc>
        <w:tc>
          <w:tcPr>
            <w:tcW w:w="11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据供水工程管养、生活污水管理工作开展状况评价得分</w:t>
            </w:r>
          </w:p>
        </w:tc>
        <w:tc>
          <w:tcPr>
            <w:tcW w:w="4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良好</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一般</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42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125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1</w:t>
            </w:r>
            <w:r>
              <w:rPr>
                <w:rFonts w:hint="eastAsia" w:ascii="宋体" w:hAnsi="宋体" w:cs="宋体"/>
                <w:color w:val="000000"/>
                <w:kern w:val="0"/>
                <w:sz w:val="22"/>
                <w:szCs w:val="22"/>
              </w:rPr>
              <w:t>、工程管养、生活污水管理制度尚未健全，</w:t>
            </w:r>
            <w:r>
              <w:rPr>
                <w:rFonts w:ascii="宋体" w:hAnsi="宋体" w:cs="宋体"/>
                <w:color w:val="000000"/>
                <w:kern w:val="0"/>
                <w:sz w:val="22"/>
                <w:szCs w:val="22"/>
              </w:rPr>
              <w:t>2</w:t>
            </w:r>
            <w:r>
              <w:rPr>
                <w:rFonts w:hint="eastAsia" w:ascii="宋体" w:hAnsi="宋体" w:cs="宋体"/>
                <w:color w:val="000000"/>
                <w:kern w:val="0"/>
                <w:sz w:val="22"/>
                <w:szCs w:val="22"/>
              </w:rPr>
              <w:t>工作力度不足。</w:t>
            </w:r>
          </w:p>
        </w:tc>
      </w:tr>
      <w:tr>
        <w:tblPrEx>
          <w:tblCellMar>
            <w:top w:w="0" w:type="dxa"/>
            <w:left w:w="0" w:type="dxa"/>
            <w:bottom w:w="0" w:type="dxa"/>
            <w:right w:w="0" w:type="dxa"/>
          </w:tblCellMar>
        </w:tblPrEx>
        <w:trPr>
          <w:trHeight w:val="720" w:hRule="atLeast"/>
        </w:trPr>
        <w:tc>
          <w:tcPr>
            <w:tcW w:w="8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工程使用寿命</w:t>
            </w:r>
          </w:p>
        </w:tc>
        <w:tc>
          <w:tcPr>
            <w:tcW w:w="115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据工程验收结果评价打分</w:t>
            </w:r>
          </w:p>
        </w:tc>
        <w:tc>
          <w:tcPr>
            <w:tcW w:w="4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15</w:t>
            </w:r>
            <w:r>
              <w:rPr>
                <w:rFonts w:hint="eastAsia" w:ascii="宋体" w:hAnsi="宋体" w:cs="宋体"/>
                <w:color w:val="000000"/>
                <w:kern w:val="0"/>
                <w:sz w:val="22"/>
                <w:szCs w:val="22"/>
              </w:rPr>
              <w:t>年</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15</w:t>
            </w:r>
            <w:r>
              <w:rPr>
                <w:rFonts w:hint="eastAsia" w:ascii="宋体" w:hAnsi="宋体" w:cs="宋体"/>
                <w:color w:val="000000"/>
                <w:kern w:val="0"/>
                <w:sz w:val="22"/>
                <w:szCs w:val="22"/>
              </w:rPr>
              <w:t>年</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5</w:t>
            </w:r>
          </w:p>
        </w:tc>
        <w:tc>
          <w:tcPr>
            <w:tcW w:w="42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5</w:t>
            </w:r>
          </w:p>
        </w:tc>
        <w:tc>
          <w:tcPr>
            <w:tcW w:w="125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kern w:val="0"/>
                <w:sz w:val="22"/>
                <w:szCs w:val="22"/>
              </w:rPr>
            </w:pPr>
          </w:p>
        </w:tc>
      </w:tr>
    </w:tbl>
    <w:p>
      <w:pPr>
        <w:spacing w:line="520" w:lineRule="exact"/>
        <w:ind w:right="85"/>
        <w:rPr>
          <w:rFonts w:ascii="宋体" w:cs="宋体"/>
          <w:b/>
          <w:bCs/>
          <w:sz w:val="28"/>
          <w:szCs w:val="28"/>
        </w:rPr>
      </w:pPr>
      <w:r>
        <w:rPr>
          <w:rFonts w:ascii="宋体" w:hAnsi="宋体" w:cs="宋体"/>
          <w:b/>
          <w:bCs/>
          <w:sz w:val="28"/>
          <w:szCs w:val="28"/>
        </w:rPr>
        <w:t>5</w:t>
      </w:r>
      <w:r>
        <w:rPr>
          <w:rFonts w:hint="eastAsia" w:ascii="宋体" w:hAnsi="宋体" w:cs="宋体"/>
          <w:b/>
          <w:bCs/>
          <w:sz w:val="28"/>
          <w:szCs w:val="28"/>
        </w:rPr>
        <w:t>、满意度指标总分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7</w:t>
      </w:r>
      <w:r>
        <w:rPr>
          <w:rFonts w:hint="eastAsia" w:ascii="宋体" w:hAnsi="宋体" w:cs="宋体"/>
          <w:b/>
          <w:bCs/>
          <w:sz w:val="28"/>
          <w:szCs w:val="28"/>
        </w:rPr>
        <w:t>分</w:t>
      </w:r>
    </w:p>
    <w:p>
      <w:pPr>
        <w:spacing w:line="520" w:lineRule="exact"/>
        <w:ind w:firstLine="480" w:firstLineChars="200"/>
        <w:rPr>
          <w:rFonts w:ascii="宋体" w:cs="宋体"/>
          <w:sz w:val="24"/>
        </w:rPr>
      </w:pPr>
      <w:r>
        <w:rPr>
          <w:rFonts w:hint="eastAsia" w:ascii="宋体" w:hAnsi="宋体" w:cs="宋体"/>
          <w:sz w:val="24"/>
        </w:rPr>
        <w:t>一级指标“满意度指标”下设“服务对象满意度指标”二级指标及相应下设的“群众满意情况”、三级指标。经过检查分析等绩效评价工作确认各指标明细得分情况如下：</w:t>
      </w:r>
    </w:p>
    <w:tbl>
      <w:tblPr>
        <w:tblStyle w:val="11"/>
        <w:tblW w:w="4997" w:type="pct"/>
        <w:tblInd w:w="0" w:type="dxa"/>
        <w:tblLayout w:type="autofit"/>
        <w:tblCellMar>
          <w:top w:w="0" w:type="dxa"/>
          <w:left w:w="0" w:type="dxa"/>
          <w:bottom w:w="0" w:type="dxa"/>
          <w:right w:w="0" w:type="dxa"/>
        </w:tblCellMar>
      </w:tblPr>
      <w:tblGrid>
        <w:gridCol w:w="1273"/>
        <w:gridCol w:w="1362"/>
        <w:gridCol w:w="902"/>
        <w:gridCol w:w="840"/>
        <w:gridCol w:w="660"/>
        <w:gridCol w:w="660"/>
        <w:gridCol w:w="2634"/>
      </w:tblGrid>
      <w:tr>
        <w:tblPrEx>
          <w:tblCellMar>
            <w:top w:w="0" w:type="dxa"/>
            <w:left w:w="0" w:type="dxa"/>
            <w:bottom w:w="0" w:type="dxa"/>
            <w:right w:w="0" w:type="dxa"/>
          </w:tblCellMar>
        </w:tblPrEx>
        <w:trPr>
          <w:trHeight w:val="880" w:hRule="atLeast"/>
        </w:trPr>
        <w:tc>
          <w:tcPr>
            <w:tcW w:w="76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8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76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群众满意情况</w:t>
            </w:r>
          </w:p>
        </w:tc>
        <w:tc>
          <w:tcPr>
            <w:tcW w:w="8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根据改水户满意度调查情况及投诉意见评价得分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7</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根据改水户现场调查，均比较满意，并感谢政府实施惠民好政策</w:t>
            </w:r>
          </w:p>
        </w:tc>
      </w:tr>
    </w:tbl>
    <w:p>
      <w:pPr>
        <w:spacing w:line="560" w:lineRule="exact"/>
        <w:ind w:firstLine="562" w:firstLineChars="200"/>
        <w:rPr>
          <w:rFonts w:ascii="宋体" w:cs="宋体"/>
          <w:b/>
          <w:bCs/>
          <w:sz w:val="28"/>
          <w:szCs w:val="28"/>
        </w:rPr>
      </w:pPr>
    </w:p>
    <w:p>
      <w:pPr>
        <w:pStyle w:val="2"/>
        <w:rPr>
          <w:rFonts w:ascii="宋体" w:cs="宋体"/>
          <w:sz w:val="36"/>
          <w:szCs w:val="36"/>
        </w:rPr>
      </w:pPr>
      <w:bookmarkStart w:id="27" w:name="_Toc28903"/>
      <w:r>
        <w:rPr>
          <w:rFonts w:hint="eastAsia" w:ascii="宋体" w:hAnsi="宋体" w:cs="宋体"/>
          <w:sz w:val="36"/>
          <w:szCs w:val="36"/>
        </w:rPr>
        <w:t>四、存在问题及建议</w:t>
      </w:r>
      <w:bookmarkEnd w:id="27"/>
    </w:p>
    <w:p>
      <w:pPr>
        <w:spacing w:line="560" w:lineRule="exact"/>
        <w:ind w:firstLine="640"/>
        <w:rPr>
          <w:rFonts w:ascii="宋体" w:cs="宋体"/>
          <w:sz w:val="30"/>
          <w:szCs w:val="30"/>
        </w:rPr>
      </w:pPr>
      <w:r>
        <w:rPr>
          <w:rFonts w:ascii="宋体" w:hAnsi="宋体" w:cs="宋体"/>
          <w:sz w:val="30"/>
          <w:szCs w:val="30"/>
        </w:rPr>
        <w:t>1</w:t>
      </w:r>
      <w:r>
        <w:rPr>
          <w:rFonts w:hint="eastAsia" w:ascii="宋体" w:hAnsi="宋体" w:cs="宋体"/>
          <w:sz w:val="30"/>
          <w:szCs w:val="30"/>
        </w:rPr>
        <w:t>、主要问题</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）绩效目标设计及绩效管理工作：未按要求填报项目支出绩效目标表，项目绩效目标具体指标设置不够恰当，分类及评分标准不够合理，不利于科学有效开展绩效评价活动。</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）改水资金财务核算管理：年度改水专项资金支出，财务汇总一笔凭证处理，未及时登记入账不利于资金使用监管。</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）农村改水工程建后管护、生活污水排放管理工作滞后，不利于改水工程高效使用。</w:t>
      </w:r>
    </w:p>
    <w:p>
      <w:pPr>
        <w:spacing w:line="560" w:lineRule="exact"/>
        <w:ind w:firstLine="640"/>
        <w:rPr>
          <w:rFonts w:ascii="宋体" w:cs="宋体"/>
          <w:sz w:val="30"/>
          <w:szCs w:val="30"/>
        </w:rPr>
      </w:pPr>
      <w:r>
        <w:rPr>
          <w:rFonts w:ascii="宋体" w:hAnsi="宋体" w:cs="宋体"/>
          <w:sz w:val="30"/>
          <w:szCs w:val="30"/>
        </w:rPr>
        <w:t>2</w:t>
      </w:r>
      <w:r>
        <w:rPr>
          <w:rFonts w:hint="eastAsia" w:ascii="宋体" w:hAnsi="宋体" w:cs="宋体"/>
          <w:sz w:val="30"/>
          <w:szCs w:val="30"/>
        </w:rPr>
        <w:t>、改进建议</w:t>
      </w:r>
    </w:p>
    <w:p>
      <w:pPr>
        <w:spacing w:line="560" w:lineRule="exact"/>
        <w:ind w:firstLine="640"/>
        <w:rPr>
          <w:rFonts w:ascii="宋体" w:cs="宋体"/>
          <w:sz w:val="28"/>
          <w:szCs w:val="28"/>
          <w:u w:val="single"/>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）加强领导、提高认识，建立健全绩效管理工作机制，提高绩效管理工作水平。</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）制定专项资金收入、支出、结余核算统一的专项明细科目体系，并对费用支出及时登记入账。为项目资金管理、动态监控及时提供有效的分析数据。</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）建立供水工程及生活污水管护体系，强化前期工作，确保工程质量。健全基层专业技术服务体系建设，落实管护主体、责任和经费，完善运行管护机制，确保工程长效运行，生活污水排放得到有效治理。</w:t>
      </w:r>
    </w:p>
    <w:p>
      <w:pPr>
        <w:spacing w:line="560" w:lineRule="exact"/>
        <w:ind w:firstLine="640"/>
        <w:rPr>
          <w:rFonts w:ascii="宋体" w:cs="宋体"/>
          <w:sz w:val="28"/>
          <w:szCs w:val="28"/>
        </w:rPr>
      </w:pPr>
    </w:p>
    <w:p>
      <w:r>
        <w:rPr>
          <w:rFonts w:hint="eastAsia"/>
        </w:rPr>
        <w:t>附件一：绩效评价指标评分表</w:t>
      </w:r>
    </w:p>
    <w:p/>
    <w:p>
      <w:pPr>
        <w:ind w:left="181" w:leftChars="86" w:right="-86" w:rightChars="-41" w:firstLine="3644" w:firstLineChars="1139"/>
        <w:jc w:val="left"/>
        <w:rPr>
          <w:rFonts w:ascii="仿宋_GB2312" w:hAnsi="宋体" w:eastAsia="仿宋_GB2312"/>
          <w:kern w:val="10"/>
          <w:sz w:val="32"/>
          <w:szCs w:val="32"/>
        </w:rPr>
      </w:pPr>
      <w:r>
        <w:rPr>
          <w:rFonts w:hint="eastAsia" w:ascii="仿宋_GB2312" w:hAnsi="宋体" w:eastAsia="仿宋_GB2312"/>
          <w:kern w:val="10"/>
          <w:sz w:val="32"/>
          <w:szCs w:val="32"/>
        </w:rPr>
        <w:t>九江钟山会计师事务所有限公司</w:t>
      </w:r>
    </w:p>
    <w:p>
      <w:pPr>
        <w:spacing w:line="540" w:lineRule="exact"/>
        <w:ind w:right="640"/>
        <w:rPr>
          <w:rFonts w:ascii="仿宋_GB2312" w:hAnsi="宋体" w:eastAsia="仿宋_GB2312" w:cs="宋体"/>
          <w:sz w:val="32"/>
          <w:szCs w:val="32"/>
        </w:rPr>
      </w:pPr>
      <w:r>
        <w:rPr>
          <w:rFonts w:ascii="仿宋_GB2312" w:hAnsi="宋体" w:eastAsia="仿宋_GB2312" w:cs="宋体"/>
          <w:sz w:val="32"/>
          <w:szCs w:val="32"/>
        </w:rPr>
        <w:t xml:space="preserve">                        </w:t>
      </w:r>
      <w:r>
        <w:rPr>
          <w:rFonts w:hint="eastAsia" w:ascii="仿宋_GB2312" w:hAnsi="宋体" w:eastAsia="仿宋_GB2312" w:cs="宋体"/>
          <w:sz w:val="32"/>
          <w:szCs w:val="32"/>
        </w:rPr>
        <w:t>法定代表人签章：</w:t>
      </w:r>
    </w:p>
    <w:p>
      <w:pPr>
        <w:spacing w:line="540" w:lineRule="exact"/>
        <w:ind w:right="640" w:firstLine="3680" w:firstLineChars="1150"/>
        <w:rPr>
          <w:rFonts w:hint="eastAsia" w:ascii="宋体" w:hAnsi="宋体" w:cs="宋体"/>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仿宋_GB2312" w:hAnsi="宋体" w:eastAsia="仿宋_GB2312" w:cs="宋体"/>
          <w:sz w:val="32"/>
          <w:szCs w:val="32"/>
        </w:rPr>
        <w:t xml:space="preserve">  </w:t>
      </w:r>
      <w:r>
        <w:rPr>
          <w:rFonts w:hint="eastAsia" w:ascii="仿宋_GB2312" w:hAnsi="宋体" w:eastAsia="仿宋_GB2312" w:cs="宋体"/>
          <w:sz w:val="32"/>
          <w:szCs w:val="32"/>
        </w:rPr>
        <w:t>二</w:t>
      </w:r>
      <w:r>
        <w:rPr>
          <w:rFonts w:ascii="仿宋_GB2312" w:hAnsi="宋体" w:eastAsia="仿宋_GB2312" w:cs="宋体"/>
          <w:sz w:val="32"/>
          <w:szCs w:val="32"/>
        </w:rPr>
        <w:t>O</w:t>
      </w:r>
      <w:r>
        <w:rPr>
          <w:rFonts w:hint="eastAsia" w:ascii="仿宋_GB2312" w:hAnsi="宋体" w:eastAsia="仿宋_GB2312" w:cs="宋体"/>
          <w:sz w:val="32"/>
          <w:szCs w:val="32"/>
        </w:rPr>
        <w:t>二</w:t>
      </w:r>
      <w:r>
        <w:rPr>
          <w:rFonts w:ascii="仿宋_GB2312" w:hAnsi="宋体" w:eastAsia="仿宋_GB2312" w:cs="宋体"/>
          <w:sz w:val="32"/>
          <w:szCs w:val="32"/>
        </w:rPr>
        <w:t>O</w:t>
      </w:r>
      <w:r>
        <w:rPr>
          <w:rFonts w:hint="eastAsia" w:ascii="仿宋_GB2312" w:hAnsi="宋体" w:eastAsia="仿宋_GB2312" w:cs="宋体"/>
          <w:sz w:val="32"/>
          <w:szCs w:val="32"/>
        </w:rPr>
        <w:t>年十一月二十</w:t>
      </w:r>
      <w:bookmarkStart w:id="28" w:name="_Toc15599_WPSOffice_Level1"/>
      <w:bookmarkStart w:id="29" w:name="_Toc20046"/>
      <w:bookmarkStart w:id="30" w:name="_Toc12094"/>
    </w:p>
    <w:p>
      <w:pPr>
        <w:pStyle w:val="2"/>
        <w:rPr>
          <w:rFonts w:ascii="宋体" w:cs="宋体"/>
          <w:sz w:val="28"/>
          <w:szCs w:val="28"/>
        </w:rPr>
      </w:pPr>
      <w:r>
        <w:rPr>
          <w:rFonts w:hint="eastAsia" w:ascii="宋体" w:hAnsi="宋体" w:cs="宋体"/>
          <w:sz w:val="28"/>
          <w:szCs w:val="28"/>
        </w:rPr>
        <w:t>附件一：绩效评价指标评分表</w:t>
      </w:r>
      <w:bookmarkEnd w:id="28"/>
      <w:bookmarkEnd w:id="29"/>
      <w:bookmarkEnd w:id="30"/>
    </w:p>
    <w:p>
      <w:pPr>
        <w:widowControl/>
        <w:jc w:val="center"/>
        <w:rPr>
          <w:rFonts w:ascii="宋体" w:cs="宋体"/>
          <w:b/>
          <w:bCs/>
          <w:color w:val="000000"/>
          <w:kern w:val="0"/>
          <w:sz w:val="28"/>
          <w:szCs w:val="28"/>
        </w:rPr>
      </w:pPr>
      <w:bookmarkStart w:id="31" w:name="_Toc3737_WPSOffice_Level1"/>
      <w:bookmarkStart w:id="32" w:name="_Toc12272_WPSOffice_Level1"/>
      <w:bookmarkStart w:id="33" w:name="_Toc2152_WPSOffice_Level1"/>
      <w:r>
        <w:rPr>
          <w:rFonts w:ascii="宋体" w:hAnsi="宋体" w:cs="宋体"/>
          <w:b/>
          <w:bCs/>
          <w:color w:val="000000"/>
          <w:kern w:val="0"/>
          <w:sz w:val="28"/>
          <w:szCs w:val="28"/>
        </w:rPr>
        <w:t>2019</w:t>
      </w:r>
      <w:r>
        <w:rPr>
          <w:rFonts w:hint="eastAsia" w:ascii="宋体" w:hAnsi="宋体" w:cs="宋体"/>
          <w:b/>
          <w:bCs/>
          <w:color w:val="000000"/>
          <w:kern w:val="0"/>
          <w:sz w:val="28"/>
          <w:szCs w:val="28"/>
        </w:rPr>
        <w:t>年</w:t>
      </w:r>
      <w:bookmarkEnd w:id="31"/>
      <w:r>
        <w:rPr>
          <w:rFonts w:hint="eastAsia" w:ascii="宋体" w:hAnsi="宋体" w:cs="宋体"/>
          <w:b/>
          <w:bCs/>
          <w:color w:val="000000"/>
          <w:kern w:val="0"/>
          <w:sz w:val="28"/>
          <w:szCs w:val="28"/>
        </w:rPr>
        <w:t>湖口县水利局农村贫困户改水项目</w:t>
      </w:r>
    </w:p>
    <w:p>
      <w:pPr>
        <w:widowControl/>
        <w:jc w:val="center"/>
        <w:rPr>
          <w:rFonts w:ascii="宋体" w:cs="宋体"/>
          <w:b/>
          <w:bCs/>
          <w:color w:val="000000"/>
          <w:kern w:val="0"/>
          <w:sz w:val="28"/>
          <w:szCs w:val="28"/>
        </w:rPr>
      </w:pPr>
      <w:bookmarkStart w:id="34" w:name="_Toc3643_WPSOffice_Level1"/>
      <w:r>
        <w:rPr>
          <w:rFonts w:hint="eastAsia" w:ascii="宋体" w:hAnsi="宋体" w:cs="宋体"/>
          <w:b/>
          <w:bCs/>
          <w:color w:val="000000"/>
          <w:kern w:val="0"/>
          <w:sz w:val="28"/>
          <w:szCs w:val="28"/>
        </w:rPr>
        <w:t>绩效评价指标评分表</w:t>
      </w:r>
      <w:bookmarkEnd w:id="32"/>
      <w:bookmarkEnd w:id="33"/>
      <w:bookmarkEnd w:id="34"/>
    </w:p>
    <w:tbl>
      <w:tblPr>
        <w:tblStyle w:val="11"/>
        <w:tblW w:w="4998" w:type="pct"/>
        <w:tblInd w:w="0" w:type="dxa"/>
        <w:tblLayout w:type="autofit"/>
        <w:tblCellMar>
          <w:top w:w="0" w:type="dxa"/>
          <w:left w:w="0" w:type="dxa"/>
          <w:bottom w:w="0" w:type="dxa"/>
          <w:right w:w="0" w:type="dxa"/>
        </w:tblCellMar>
      </w:tblPr>
      <w:tblGrid>
        <w:gridCol w:w="648"/>
        <w:gridCol w:w="839"/>
        <w:gridCol w:w="836"/>
        <w:gridCol w:w="1588"/>
        <w:gridCol w:w="3840"/>
        <w:gridCol w:w="1037"/>
        <w:gridCol w:w="1004"/>
        <w:gridCol w:w="766"/>
        <w:gridCol w:w="735"/>
        <w:gridCol w:w="2683"/>
      </w:tblGrid>
      <w:tr>
        <w:tblPrEx>
          <w:tblCellMar>
            <w:top w:w="0" w:type="dxa"/>
            <w:left w:w="0" w:type="dxa"/>
            <w:bottom w:w="0" w:type="dxa"/>
            <w:right w:w="0" w:type="dxa"/>
          </w:tblCellMar>
        </w:tblPrEx>
        <w:trPr>
          <w:trHeight w:val="880" w:hRule="atLeast"/>
        </w:trPr>
        <w:tc>
          <w:tcPr>
            <w:tcW w:w="20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widowControl/>
              <w:jc w:val="center"/>
              <w:textAlignment w:val="center"/>
              <w:rPr>
                <w:rFonts w:ascii="宋体" w:cs="宋体"/>
                <w:color w:val="000000"/>
                <w:sz w:val="24"/>
              </w:rPr>
            </w:pPr>
            <w:r>
              <w:rPr>
                <w:rFonts w:hint="eastAsia" w:ascii="宋体" w:hAnsi="宋体" w:cs="宋体"/>
                <w:color w:val="000000"/>
                <w:kern w:val="0"/>
                <w:sz w:val="24"/>
              </w:rPr>
              <w:t>绩效指标</w:t>
            </w:r>
          </w:p>
        </w:tc>
        <w:tc>
          <w:tcPr>
            <w:tcW w:w="303"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一级指标</w:t>
            </w:r>
          </w:p>
        </w:tc>
        <w:tc>
          <w:tcPr>
            <w:tcW w:w="30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二级指标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266"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9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资金投入指标（</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资金收支</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按预算执行比率计算得分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按预算到位比率计算得分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99.2</w:t>
            </w:r>
            <w:r>
              <w:rPr>
                <w:rFonts w:hint="eastAsia" w:ascii="宋体" w:hAnsi="宋体" w:cs="宋体"/>
                <w:color w:val="000000"/>
                <w:kern w:val="0"/>
                <w:sz w:val="22"/>
                <w:szCs w:val="22"/>
              </w:rPr>
              <w:t>万</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24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过程指标</w:t>
            </w:r>
            <w:r>
              <w:rPr>
                <w:rFonts w:ascii="宋体" w:hAnsi="宋体" w:cs="宋体"/>
                <w:color w:val="000000"/>
                <w:kern w:val="0"/>
                <w:sz w:val="22"/>
                <w:szCs w:val="22"/>
              </w:rPr>
              <w:t>(20</w:t>
            </w:r>
            <w:r>
              <w:rPr>
                <w:rFonts w:hint="eastAsia" w:ascii="宋体" w:hAnsi="宋体" w:cs="宋体"/>
                <w:color w:val="000000"/>
                <w:kern w:val="0"/>
                <w:sz w:val="22"/>
                <w:szCs w:val="22"/>
              </w:rPr>
              <w:t>分</w:t>
            </w:r>
            <w:r>
              <w:rPr>
                <w:rFonts w:ascii="宋体" w:hAnsi="宋体" w:cs="宋体"/>
                <w:color w:val="000000"/>
                <w:kern w:val="0"/>
                <w:sz w:val="22"/>
                <w:szCs w:val="22"/>
              </w:rPr>
              <w:t>)</w:t>
            </w: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业务管理</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改水工程及劳务采购合规性</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①工程及商品采购合规②政府采购流程合法、高效。</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各区集中供水工程均由水厂等合格单位提供，分散供水也依规进行监督和项目验收。</w:t>
            </w:r>
          </w:p>
        </w:tc>
      </w:tr>
      <w:tr>
        <w:tblPrEx>
          <w:tblCellMar>
            <w:top w:w="0" w:type="dxa"/>
            <w:left w:w="0" w:type="dxa"/>
            <w:bottom w:w="0" w:type="dxa"/>
            <w:right w:w="0" w:type="dxa"/>
          </w:tblCellMar>
        </w:tblPrEx>
        <w:trPr>
          <w:trHeight w:val="116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绩效目标合理性</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①项目是否有完整绩效目标表；②指标是否可通过清晰、可衡量的数据予以体现；③是否与项目目标任务相对应。</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1</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绩效目标表过于简单，明细指标及评分要素设计不合理，扣</w:t>
            </w:r>
            <w:r>
              <w:rPr>
                <w:rFonts w:ascii="宋体" w:hAnsi="宋体" w:cs="宋体"/>
                <w:color w:val="000000"/>
                <w:kern w:val="0"/>
                <w:sz w:val="22"/>
                <w:szCs w:val="22"/>
              </w:rPr>
              <w:t>3</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8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财务管理</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专项资金预算审批管理</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①专项资金预算申请报告文件完整、流程规范。②专项资金审批流程合规。</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98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专项资金管理制度健全性</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①制定专项资金管理办法；②专项资金独立专账核算，③开展专项资金监管工作。</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2</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年度专项资金支出，财务汇总一笔凭证处理，未及时登记入账不利于资金使用监管。扣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15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资金使用合规性</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6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4"/>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8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产出指标</w:t>
            </w:r>
            <w:r>
              <w:rPr>
                <w:rFonts w:ascii="宋体" w:hAnsi="宋体" w:cs="宋体"/>
                <w:color w:val="000000"/>
                <w:kern w:val="0"/>
                <w:sz w:val="22"/>
                <w:szCs w:val="22"/>
              </w:rPr>
              <w:t>(30</w:t>
            </w:r>
            <w:r>
              <w:rPr>
                <w:rFonts w:hint="eastAsia" w:ascii="宋体" w:hAnsi="宋体" w:cs="宋体"/>
                <w:color w:val="000000"/>
                <w:kern w:val="0"/>
                <w:sz w:val="22"/>
                <w:szCs w:val="22"/>
              </w:rPr>
              <w:t>分</w:t>
            </w:r>
            <w:r>
              <w:rPr>
                <w:rFonts w:ascii="宋体" w:hAnsi="宋体" w:cs="宋体"/>
                <w:color w:val="000000"/>
                <w:kern w:val="0"/>
                <w:sz w:val="22"/>
                <w:szCs w:val="22"/>
              </w:rPr>
              <w:t xml:space="preserve"> )</w:t>
            </w: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数量指标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改水工程实施地区数</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贫困户饮水工程覆盖全县地区得分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贫困户饮水工程建档立卡人数</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根据达成目标值比例计算得分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1388</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1388</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贫困户饮水工程建档立卡户数</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根据达成目标值比例计算得分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496</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496</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94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质量指标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居民改水工程合格情况</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根据工程验收合格率评价得分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2</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有相当部分地区改水工程验收报告中无户主签名，部分地区取证拍照未按规定要求。扣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74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供水工程设计施工符合法规标准</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根据工程设计施工合格情况评价得分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4"/>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时效指标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按时完工情况</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在项目规定时间完工得分，未按时完成不得分。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工程按计划于</w:t>
            </w:r>
            <w:r>
              <w:rPr>
                <w:rFonts w:ascii="宋体" w:hAnsi="宋体" w:cs="宋体"/>
                <w:color w:val="000000"/>
                <w:kern w:val="0"/>
                <w:sz w:val="22"/>
                <w:szCs w:val="22"/>
              </w:rPr>
              <w:t>2019</w:t>
            </w:r>
            <w:r>
              <w:rPr>
                <w:rFonts w:hint="eastAsia" w:ascii="宋体" w:hAnsi="宋体" w:cs="宋体"/>
                <w:color w:val="000000"/>
                <w:kern w:val="0"/>
                <w:sz w:val="22"/>
                <w:szCs w:val="22"/>
              </w:rPr>
              <w:t>年底完工验收</w:t>
            </w:r>
          </w:p>
        </w:tc>
      </w:tr>
      <w:tr>
        <w:tblPrEx>
          <w:tblCellMar>
            <w:top w:w="0" w:type="dxa"/>
            <w:left w:w="0" w:type="dxa"/>
            <w:bottom w:w="0" w:type="dxa"/>
            <w:right w:w="0" w:type="dxa"/>
          </w:tblCellMar>
        </w:tblPrEx>
        <w:trPr>
          <w:trHeight w:val="7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24</w:t>
            </w:r>
            <w:r>
              <w:rPr>
                <w:rFonts w:hint="eastAsia" w:ascii="宋体" w:hAnsi="宋体" w:cs="宋体"/>
                <w:color w:val="000000"/>
                <w:kern w:val="0"/>
                <w:sz w:val="22"/>
                <w:szCs w:val="22"/>
              </w:rPr>
              <w:t>小时内故障处理完成率</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处理完成率</w:t>
            </w:r>
            <w:r>
              <w:rPr>
                <w:rFonts w:ascii="宋体" w:hAnsi="宋体" w:cs="宋体"/>
                <w:color w:val="000000"/>
                <w:kern w:val="0"/>
                <w:sz w:val="22"/>
                <w:szCs w:val="22"/>
              </w:rPr>
              <w:t>90%</w:t>
            </w:r>
            <w:r>
              <w:rPr>
                <w:rFonts w:hint="eastAsia" w:ascii="宋体" w:hAnsi="宋体" w:cs="宋体"/>
                <w:color w:val="000000"/>
                <w:kern w:val="0"/>
                <w:sz w:val="22"/>
                <w:szCs w:val="22"/>
              </w:rPr>
              <w:t>以上得分，每少</w:t>
            </w:r>
            <w:r>
              <w:rPr>
                <w:rFonts w:ascii="宋体" w:hAnsi="宋体" w:cs="宋体"/>
                <w:color w:val="000000"/>
                <w:kern w:val="0"/>
                <w:sz w:val="22"/>
                <w:szCs w:val="22"/>
              </w:rPr>
              <w:t>5</w:t>
            </w:r>
            <w:r>
              <w:rPr>
                <w:rFonts w:hint="eastAsia" w:ascii="宋体" w:hAnsi="宋体" w:cs="宋体"/>
                <w:color w:val="000000"/>
                <w:kern w:val="0"/>
                <w:sz w:val="22"/>
                <w:szCs w:val="22"/>
              </w:rPr>
              <w:t>个百分点扣</w:t>
            </w:r>
            <w:r>
              <w:rPr>
                <w:rFonts w:ascii="宋体" w:hAnsi="宋体" w:cs="宋体"/>
                <w:color w:val="000000"/>
                <w:kern w:val="0"/>
                <w:sz w:val="22"/>
                <w:szCs w:val="22"/>
              </w:rPr>
              <w:t>1</w:t>
            </w:r>
            <w:r>
              <w:rPr>
                <w:rFonts w:hint="eastAsia" w:ascii="宋体" w:hAnsi="宋体" w:cs="宋体"/>
                <w:color w:val="000000"/>
                <w:kern w:val="0"/>
                <w:sz w:val="22"/>
                <w:szCs w:val="22"/>
              </w:rPr>
              <w:t>分，扣完即止</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90%</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供水故障及时维修处理</w:t>
            </w: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4"/>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成本指标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每户补助标准</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投资低于预算得分，高于预算</w:t>
            </w:r>
            <w:r>
              <w:rPr>
                <w:rFonts w:ascii="宋体" w:cs="宋体"/>
                <w:color w:val="000000"/>
                <w:kern w:val="0"/>
                <w:sz w:val="22"/>
                <w:szCs w:val="22"/>
              </w:rPr>
              <w:t>0</w:t>
            </w:r>
            <w:r>
              <w:rPr>
                <w:rFonts w:hint="eastAsia" w:ascii="宋体" w:hAnsi="宋体" w:cs="宋体"/>
                <w:color w:val="000000"/>
                <w:kern w:val="0"/>
                <w:sz w:val="22"/>
                <w:szCs w:val="22"/>
              </w:rPr>
              <w:t>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2000</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2000</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0"/>
                <w:szCs w:val="20"/>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0"/>
                <w:szCs w:val="20"/>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4"/>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6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效益指标</w:t>
            </w:r>
            <w:r>
              <w:rPr>
                <w:rFonts w:ascii="宋体" w:hAnsi="宋体" w:cs="宋体"/>
                <w:color w:val="000000"/>
                <w:kern w:val="0"/>
                <w:sz w:val="22"/>
                <w:szCs w:val="22"/>
              </w:rPr>
              <w:t>(30</w:t>
            </w:r>
            <w:r>
              <w:rPr>
                <w:rFonts w:hint="eastAsia" w:ascii="宋体" w:hAnsi="宋体" w:cs="宋体"/>
                <w:color w:val="000000"/>
                <w:kern w:val="0"/>
                <w:sz w:val="22"/>
                <w:szCs w:val="22"/>
              </w:rPr>
              <w:t>分</w:t>
            </w:r>
            <w:r>
              <w:rPr>
                <w:rFonts w:ascii="宋体" w:hAnsi="宋体" w:cs="宋体"/>
                <w:color w:val="000000"/>
                <w:kern w:val="0"/>
                <w:sz w:val="22"/>
                <w:szCs w:val="22"/>
              </w:rPr>
              <w:t>)</w:t>
            </w: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经济效益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减少改水户工程开支，增加家庭收入</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6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社会效益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提高贫困户生活质量</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8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改善干群关系，助力社会和谐稳定。</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生态效益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减少地表水污染</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98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可持续影响指标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供水工程管养、生活污水管理</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据供水工程管养、生活污水管理工作开展状况评价得分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良好</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一般</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3</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1</w:t>
            </w:r>
            <w:r>
              <w:rPr>
                <w:rFonts w:hint="eastAsia" w:ascii="宋体" w:hAnsi="宋体" w:cs="宋体"/>
                <w:color w:val="000000"/>
                <w:kern w:val="0"/>
                <w:sz w:val="22"/>
                <w:szCs w:val="22"/>
              </w:rPr>
              <w:t>、工程管养、生活污水管理制度尚未健全，</w:t>
            </w:r>
            <w:r>
              <w:rPr>
                <w:rFonts w:ascii="宋体" w:hAnsi="宋体" w:cs="宋体"/>
                <w:color w:val="000000"/>
                <w:kern w:val="0"/>
                <w:sz w:val="22"/>
                <w:szCs w:val="22"/>
              </w:rPr>
              <w:t>2</w:t>
            </w:r>
            <w:r>
              <w:rPr>
                <w:rFonts w:hint="eastAsia" w:ascii="宋体" w:hAnsi="宋体" w:cs="宋体"/>
                <w:color w:val="000000"/>
                <w:kern w:val="0"/>
                <w:sz w:val="22"/>
                <w:szCs w:val="22"/>
              </w:rPr>
              <w:t>工作力度不足。</w:t>
            </w: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工程使用寿命</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据工程验收结果评价打分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15</w:t>
            </w:r>
            <w:r>
              <w:rPr>
                <w:rFonts w:hint="eastAsia" w:ascii="宋体" w:hAnsi="宋体" w:cs="宋体"/>
                <w:color w:val="000000"/>
                <w:kern w:val="0"/>
                <w:sz w:val="22"/>
                <w:szCs w:val="22"/>
              </w:rPr>
              <w:t>年</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15</w:t>
            </w:r>
            <w:r>
              <w:rPr>
                <w:rFonts w:hint="eastAsia" w:ascii="宋体" w:hAnsi="宋体" w:cs="宋体"/>
                <w:color w:val="000000"/>
                <w:kern w:val="0"/>
                <w:sz w:val="22"/>
                <w:szCs w:val="22"/>
              </w:rPr>
              <w:t>年</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6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满意度指标</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302"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服务对象</w:t>
            </w:r>
            <w:r>
              <w:rPr>
                <w:rFonts w:ascii="宋体" w:cs="宋体"/>
                <w:color w:val="000000"/>
                <w:kern w:val="0"/>
                <w:sz w:val="22"/>
                <w:szCs w:val="22"/>
              </w:rPr>
              <w:br w:type="textWrapping"/>
            </w:r>
            <w:r>
              <w:rPr>
                <w:rFonts w:hint="eastAsia" w:ascii="宋体" w:hAnsi="宋体" w:cs="宋体"/>
                <w:color w:val="000000"/>
                <w:kern w:val="0"/>
                <w:sz w:val="22"/>
                <w:szCs w:val="22"/>
              </w:rPr>
              <w:t>满意度指标</w:t>
            </w: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群众满意情况</w:t>
            </w: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根据改水户满意度调查情况及投诉意见评价得分</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7</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根据改水户现场调查，均比较满意，并感谢政府实施惠民好政策</w:t>
            </w:r>
          </w:p>
        </w:tc>
      </w:tr>
      <w:tr>
        <w:tblPrEx>
          <w:tblCellMar>
            <w:top w:w="0" w:type="dxa"/>
            <w:left w:w="0" w:type="dxa"/>
            <w:bottom w:w="0" w:type="dxa"/>
            <w:right w:w="0" w:type="dxa"/>
          </w:tblCellMar>
        </w:tblPrEx>
        <w:trPr>
          <w:trHeight w:val="50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3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02"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57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1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4"/>
              </w:rPr>
            </w:pP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20" w:hRule="atLeast"/>
        </w:trPr>
        <w:tc>
          <w:tcPr>
            <w:tcW w:w="203"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textDirection w:val="tbRlV"/>
            <w:vAlign w:val="center"/>
          </w:tcPr>
          <w:p>
            <w:pPr>
              <w:jc w:val="center"/>
              <w:rPr>
                <w:rFonts w:ascii="宋体" w:cs="宋体"/>
                <w:color w:val="000000"/>
                <w:sz w:val="24"/>
              </w:rPr>
            </w:pPr>
          </w:p>
        </w:tc>
        <w:tc>
          <w:tcPr>
            <w:tcW w:w="2552" w:type="pct"/>
            <w:gridSpan w:val="4"/>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合计</w:t>
            </w:r>
          </w:p>
        </w:tc>
        <w:tc>
          <w:tcPr>
            <w:tcW w:w="374"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362"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jc w:val="center"/>
              <w:rPr>
                <w:rFonts w:ascii="宋体" w:cs="宋体"/>
                <w:color w:val="000000"/>
                <w:sz w:val="22"/>
                <w:szCs w:val="22"/>
              </w:rPr>
            </w:pPr>
          </w:p>
        </w:tc>
        <w:tc>
          <w:tcPr>
            <w:tcW w:w="277"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735"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88</w:t>
            </w:r>
          </w:p>
        </w:tc>
        <w:tc>
          <w:tcPr>
            <w:tcW w:w="268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rPr>
                <w:rFonts w:ascii="宋体" w:cs="宋体"/>
                <w:color w:val="000000"/>
                <w:sz w:val="22"/>
                <w:szCs w:val="22"/>
              </w:rPr>
            </w:pPr>
          </w:p>
        </w:tc>
      </w:tr>
    </w:tbl>
    <w:p>
      <w:pPr>
        <w:widowControl/>
        <w:jc w:val="center"/>
        <w:rPr>
          <w:rFonts w:hint="eastAsia" w:ascii="宋体" w:hAnsi="宋体" w:cs="宋体"/>
          <w:sz w:val="28"/>
          <w:szCs w:val="28"/>
        </w:rPr>
      </w:pPr>
      <w:r>
        <w:rPr>
          <w:rFonts w:hint="eastAsia" w:ascii="宋体" w:hAnsi="宋体" w:cs="宋体"/>
          <w:b/>
          <w:bCs/>
          <w:color w:val="000000"/>
          <w:kern w:val="0"/>
          <w:sz w:val="28"/>
          <w:szCs w:val="28"/>
        </w:rPr>
        <w:t>评价等级：优秀(90及以上) 良好(80-89) 中(70-79) 合格(69-60) 差(59以下)</w:t>
      </w:r>
    </w:p>
    <w:p>
      <w:pPr>
        <w:widowControl/>
        <w:jc w:val="center"/>
        <w:rPr>
          <w:rFonts w:ascii="宋体" w:cs="宋体"/>
          <w:b/>
          <w:bCs/>
          <w:color w:val="000000"/>
          <w:kern w:val="0"/>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entury Schoolbook">
    <w:altName w:val="Segoe Print"/>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2"/>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txbx>
                      <w:txbxContent>
                        <w:p>
                          <w:pPr>
                            <w:pStyle w:val="5"/>
                            <w:jc w:val="center"/>
                          </w:pPr>
                          <w:r>
                            <w:fldChar w:fldCharType="begin"/>
                          </w:r>
                          <w:r>
                            <w:instrText xml:space="preserve"> PAGE   \* MERGEFORMAT </w:instrText>
                          </w:r>
                          <w:r>
                            <w:fldChar w:fldCharType="separate"/>
                          </w:r>
                          <w:r>
                            <w:rPr>
                              <w:lang w:val="zh-CN"/>
                            </w:rPr>
                            <w:t>18</w:t>
                          </w:r>
                          <w:r>
                            <w:rPr>
                              <w:lang w:val="zh-CN"/>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l3GF10gAAAAMBAAAPAAAAAAAAAAEAIAAAACIA&#10;AABkcnMvZG93bnJldi54bWxQSwECFAAUAAAACACHTuJAZdu3vdYBAACgAwAADgAAAAAAAAABACAA&#10;AAAhAQAAZHJzL2Uyb0RvYy54bWxQSwUGAAAAAAYABgBZAQAAaQUAAAAA&#10;">
              <v:fill on="f" focussize="0,0"/>
              <v:stroke on="f" weight="0.5pt"/>
              <v:imagedata o:title=""/>
              <o:lock v:ext="edit" aspectratio="f"/>
              <v:textbox inset="0mm,0mm,0mm,0mm" style="mso-fit-shape-to-text:t;">
                <w:txbxContent>
                  <w:p>
                    <w:pPr>
                      <w:pStyle w:val="5"/>
                      <w:jc w:val="center"/>
                    </w:pPr>
                    <w:r>
                      <w:fldChar w:fldCharType="begin"/>
                    </w:r>
                    <w:r>
                      <w:instrText xml:space="preserve"> PAGE   \* MERGEFORMAT </w:instrText>
                    </w:r>
                    <w:r>
                      <w:fldChar w:fldCharType="separate"/>
                    </w:r>
                    <w:r>
                      <w:rPr>
                        <w:lang w:val="zh-CN"/>
                      </w:rPr>
                      <w:t>18</w:t>
                    </w:r>
                    <w:r>
                      <w:rPr>
                        <w:lang w:val="zh-CN"/>
                      </w:rPr>
                      <w:fldChar w:fldCharType="end"/>
                    </w:r>
                  </w:p>
                </w:txbxContent>
              </v:textbox>
            </v:shape>
          </w:pict>
        </mc:Fallback>
      </mc:AlternateConten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32D40"/>
    <w:multiLevelType w:val="singleLevel"/>
    <w:tmpl w:val="95E32D40"/>
    <w:lvl w:ilvl="0" w:tentative="0">
      <w:start w:val="1"/>
      <w:numFmt w:val="decimal"/>
      <w:suff w:val="nothing"/>
      <w:lvlText w:val="（%1）"/>
      <w:lvlJc w:val="left"/>
      <w:rPr>
        <w:rFonts w:cs="Times New Roman"/>
      </w:rPr>
    </w:lvl>
  </w:abstractNum>
  <w:abstractNum w:abstractNumId="1">
    <w:nsid w:val="DB414609"/>
    <w:multiLevelType w:val="singleLevel"/>
    <w:tmpl w:val="DB414609"/>
    <w:lvl w:ilvl="0" w:tentative="0">
      <w:start w:val="1"/>
      <w:numFmt w:val="decimal"/>
      <w:lvlText w:val="%1."/>
      <w:lvlJc w:val="left"/>
      <w:pPr>
        <w:tabs>
          <w:tab w:val="left" w:pos="312"/>
        </w:tabs>
      </w:pPr>
      <w:rPr>
        <w:rFonts w:cs="Times New Roman"/>
      </w:rPr>
    </w:lvl>
  </w:abstractNum>
  <w:abstractNum w:abstractNumId="2">
    <w:nsid w:val="E587C77A"/>
    <w:multiLevelType w:val="singleLevel"/>
    <w:tmpl w:val="E587C77A"/>
    <w:lvl w:ilvl="0" w:tentative="0">
      <w:start w:val="1"/>
      <w:numFmt w:val="decimal"/>
      <w:suff w:val="nothing"/>
      <w:lvlText w:val="%1、"/>
      <w:lvlJc w:val="left"/>
      <w:rPr>
        <w:rFonts w:cs="Times New Roman"/>
      </w:rPr>
    </w:lvl>
  </w:abstractNum>
  <w:abstractNum w:abstractNumId="3">
    <w:nsid w:val="690A5D34"/>
    <w:multiLevelType w:val="singleLevel"/>
    <w:tmpl w:val="690A5D34"/>
    <w:lvl w:ilvl="0" w:tentative="0">
      <w:start w:val="3"/>
      <w:numFmt w:val="chineseCounting"/>
      <w:suff w:val="nothing"/>
      <w:lvlText w:val="（%1）"/>
      <w:lvlJc w:val="left"/>
      <w:rPr>
        <w:rFonts w:hint="eastAsia"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attachedTemplate r:id="rId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2YjIzNmY3OGMxYjNjYjdjNWVmNDdkOGVlOTY1Y2MifQ=="/>
  </w:docVars>
  <w:rsids>
    <w:rsidRoot w:val="4E7E1A33"/>
    <w:rsid w:val="00005725"/>
    <w:rsid w:val="000A36A0"/>
    <w:rsid w:val="001C33DE"/>
    <w:rsid w:val="001D4723"/>
    <w:rsid w:val="001F5769"/>
    <w:rsid w:val="002614FD"/>
    <w:rsid w:val="002640CB"/>
    <w:rsid w:val="003E099B"/>
    <w:rsid w:val="004576C8"/>
    <w:rsid w:val="005300BB"/>
    <w:rsid w:val="00565DA8"/>
    <w:rsid w:val="00574E47"/>
    <w:rsid w:val="0067469D"/>
    <w:rsid w:val="00680E2C"/>
    <w:rsid w:val="006C26E2"/>
    <w:rsid w:val="006E396B"/>
    <w:rsid w:val="00745FD2"/>
    <w:rsid w:val="008A6B98"/>
    <w:rsid w:val="00955899"/>
    <w:rsid w:val="00AA6CD6"/>
    <w:rsid w:val="00BB0649"/>
    <w:rsid w:val="00D844FC"/>
    <w:rsid w:val="00E15B2B"/>
    <w:rsid w:val="00E82569"/>
    <w:rsid w:val="00E92D38"/>
    <w:rsid w:val="00ED4B01"/>
    <w:rsid w:val="00F011C5"/>
    <w:rsid w:val="00F64A84"/>
    <w:rsid w:val="00F85AA2"/>
    <w:rsid w:val="00FB461A"/>
    <w:rsid w:val="011D1637"/>
    <w:rsid w:val="01411D13"/>
    <w:rsid w:val="015A405E"/>
    <w:rsid w:val="01D156C5"/>
    <w:rsid w:val="021802F7"/>
    <w:rsid w:val="021F3649"/>
    <w:rsid w:val="026D0BFB"/>
    <w:rsid w:val="029C619F"/>
    <w:rsid w:val="03206B39"/>
    <w:rsid w:val="03334F8A"/>
    <w:rsid w:val="03D354B7"/>
    <w:rsid w:val="03D36810"/>
    <w:rsid w:val="03E442EE"/>
    <w:rsid w:val="03E80E6D"/>
    <w:rsid w:val="04553BDA"/>
    <w:rsid w:val="04A36298"/>
    <w:rsid w:val="04FE6CFA"/>
    <w:rsid w:val="05DF79E7"/>
    <w:rsid w:val="06622310"/>
    <w:rsid w:val="06B513EB"/>
    <w:rsid w:val="06F44C4C"/>
    <w:rsid w:val="06FE4B06"/>
    <w:rsid w:val="072C508A"/>
    <w:rsid w:val="07684059"/>
    <w:rsid w:val="07CB4DB9"/>
    <w:rsid w:val="07DE5239"/>
    <w:rsid w:val="07FE3834"/>
    <w:rsid w:val="08301127"/>
    <w:rsid w:val="0835424E"/>
    <w:rsid w:val="086A7263"/>
    <w:rsid w:val="08874ABA"/>
    <w:rsid w:val="08EA020F"/>
    <w:rsid w:val="09932E10"/>
    <w:rsid w:val="09EB46E0"/>
    <w:rsid w:val="0A374AE3"/>
    <w:rsid w:val="0A8E4DDF"/>
    <w:rsid w:val="0A922AC6"/>
    <w:rsid w:val="0B005509"/>
    <w:rsid w:val="0B500E9E"/>
    <w:rsid w:val="0B6D427B"/>
    <w:rsid w:val="0BF6481D"/>
    <w:rsid w:val="0C3F7248"/>
    <w:rsid w:val="0C665296"/>
    <w:rsid w:val="0C710EE0"/>
    <w:rsid w:val="0CEB13A6"/>
    <w:rsid w:val="0CF63785"/>
    <w:rsid w:val="0D705292"/>
    <w:rsid w:val="0DB25492"/>
    <w:rsid w:val="0DC02452"/>
    <w:rsid w:val="0E7F7893"/>
    <w:rsid w:val="0EF7497E"/>
    <w:rsid w:val="0F2206F9"/>
    <w:rsid w:val="0F2F5DC7"/>
    <w:rsid w:val="0FA4182F"/>
    <w:rsid w:val="0FC432D8"/>
    <w:rsid w:val="0FEB01EB"/>
    <w:rsid w:val="0FF0505B"/>
    <w:rsid w:val="10132E5D"/>
    <w:rsid w:val="10332B98"/>
    <w:rsid w:val="10947326"/>
    <w:rsid w:val="10FB04B6"/>
    <w:rsid w:val="110E0E86"/>
    <w:rsid w:val="111D4461"/>
    <w:rsid w:val="114401E0"/>
    <w:rsid w:val="11837896"/>
    <w:rsid w:val="11CE470A"/>
    <w:rsid w:val="11F61E60"/>
    <w:rsid w:val="131E0016"/>
    <w:rsid w:val="13496E2E"/>
    <w:rsid w:val="13681654"/>
    <w:rsid w:val="14176B86"/>
    <w:rsid w:val="1441691A"/>
    <w:rsid w:val="14D01E64"/>
    <w:rsid w:val="15771394"/>
    <w:rsid w:val="15DF2AE5"/>
    <w:rsid w:val="160711BF"/>
    <w:rsid w:val="16A17FBA"/>
    <w:rsid w:val="16AD3363"/>
    <w:rsid w:val="17217574"/>
    <w:rsid w:val="176454EA"/>
    <w:rsid w:val="17C739F0"/>
    <w:rsid w:val="17CD7D3C"/>
    <w:rsid w:val="18080035"/>
    <w:rsid w:val="180F1D3F"/>
    <w:rsid w:val="18121822"/>
    <w:rsid w:val="183B525A"/>
    <w:rsid w:val="185847E0"/>
    <w:rsid w:val="186E5B32"/>
    <w:rsid w:val="18892C5F"/>
    <w:rsid w:val="18BB3414"/>
    <w:rsid w:val="18D90389"/>
    <w:rsid w:val="19B75D26"/>
    <w:rsid w:val="1A1E5732"/>
    <w:rsid w:val="1AB10698"/>
    <w:rsid w:val="1AE94002"/>
    <w:rsid w:val="1B184591"/>
    <w:rsid w:val="1B66354F"/>
    <w:rsid w:val="1BE82750"/>
    <w:rsid w:val="1C51134B"/>
    <w:rsid w:val="1C7D7D30"/>
    <w:rsid w:val="1CAA44A8"/>
    <w:rsid w:val="1D0B4DDA"/>
    <w:rsid w:val="1D0C2967"/>
    <w:rsid w:val="1DE32459"/>
    <w:rsid w:val="1DEC1C0B"/>
    <w:rsid w:val="1DF57465"/>
    <w:rsid w:val="1E5A6D19"/>
    <w:rsid w:val="1EA96256"/>
    <w:rsid w:val="1EC170BD"/>
    <w:rsid w:val="1F123DED"/>
    <w:rsid w:val="1F4724F3"/>
    <w:rsid w:val="1FAA7488"/>
    <w:rsid w:val="1FAF37C8"/>
    <w:rsid w:val="1FD13C6C"/>
    <w:rsid w:val="207C317B"/>
    <w:rsid w:val="20963F14"/>
    <w:rsid w:val="20F03EA6"/>
    <w:rsid w:val="21565C5C"/>
    <w:rsid w:val="215916EF"/>
    <w:rsid w:val="216D1EE8"/>
    <w:rsid w:val="2203533A"/>
    <w:rsid w:val="22335730"/>
    <w:rsid w:val="22F71818"/>
    <w:rsid w:val="237106CF"/>
    <w:rsid w:val="23791DAC"/>
    <w:rsid w:val="23E20F77"/>
    <w:rsid w:val="24497F6B"/>
    <w:rsid w:val="245737ED"/>
    <w:rsid w:val="24704538"/>
    <w:rsid w:val="249D4572"/>
    <w:rsid w:val="24B44F40"/>
    <w:rsid w:val="24BC34C5"/>
    <w:rsid w:val="251F70E9"/>
    <w:rsid w:val="25DF3CC1"/>
    <w:rsid w:val="26D752CB"/>
    <w:rsid w:val="26E70C5B"/>
    <w:rsid w:val="26E91863"/>
    <w:rsid w:val="26F463B9"/>
    <w:rsid w:val="27D207D0"/>
    <w:rsid w:val="282D0A96"/>
    <w:rsid w:val="293B4003"/>
    <w:rsid w:val="2A014C10"/>
    <w:rsid w:val="2A180AC7"/>
    <w:rsid w:val="2A392D99"/>
    <w:rsid w:val="2A3A08AB"/>
    <w:rsid w:val="2A594C81"/>
    <w:rsid w:val="2A7969C3"/>
    <w:rsid w:val="2ABC3932"/>
    <w:rsid w:val="2AC03260"/>
    <w:rsid w:val="2B4503B5"/>
    <w:rsid w:val="2B50384A"/>
    <w:rsid w:val="2BA45828"/>
    <w:rsid w:val="2BD9503C"/>
    <w:rsid w:val="2C1B3A8F"/>
    <w:rsid w:val="2C7334DA"/>
    <w:rsid w:val="2DBE00B3"/>
    <w:rsid w:val="2DC46D39"/>
    <w:rsid w:val="2DD93E8B"/>
    <w:rsid w:val="2DF53044"/>
    <w:rsid w:val="2E394E34"/>
    <w:rsid w:val="2E3A1F09"/>
    <w:rsid w:val="2E477E11"/>
    <w:rsid w:val="2E9B1D1D"/>
    <w:rsid w:val="2EC8360E"/>
    <w:rsid w:val="2EF62433"/>
    <w:rsid w:val="2F1B629E"/>
    <w:rsid w:val="2F3F52DD"/>
    <w:rsid w:val="2FC22EE9"/>
    <w:rsid w:val="31062E5A"/>
    <w:rsid w:val="316C671F"/>
    <w:rsid w:val="31A66C65"/>
    <w:rsid w:val="31D459CA"/>
    <w:rsid w:val="326D6DF5"/>
    <w:rsid w:val="326D7FDF"/>
    <w:rsid w:val="32B273DA"/>
    <w:rsid w:val="33425921"/>
    <w:rsid w:val="33BE15BC"/>
    <w:rsid w:val="33CE5A44"/>
    <w:rsid w:val="34253FE5"/>
    <w:rsid w:val="34D63E9A"/>
    <w:rsid w:val="34DC6E67"/>
    <w:rsid w:val="34E6664C"/>
    <w:rsid w:val="35270D42"/>
    <w:rsid w:val="358B2C7A"/>
    <w:rsid w:val="36015F58"/>
    <w:rsid w:val="3634126E"/>
    <w:rsid w:val="36435953"/>
    <w:rsid w:val="365752AC"/>
    <w:rsid w:val="367172BA"/>
    <w:rsid w:val="36E90A12"/>
    <w:rsid w:val="37170646"/>
    <w:rsid w:val="372F206A"/>
    <w:rsid w:val="37351778"/>
    <w:rsid w:val="37441B43"/>
    <w:rsid w:val="37AE517B"/>
    <w:rsid w:val="38020F21"/>
    <w:rsid w:val="38406B5C"/>
    <w:rsid w:val="38511267"/>
    <w:rsid w:val="388F0E53"/>
    <w:rsid w:val="38A4308D"/>
    <w:rsid w:val="38C20F63"/>
    <w:rsid w:val="391B7FF8"/>
    <w:rsid w:val="39290031"/>
    <w:rsid w:val="39D406D2"/>
    <w:rsid w:val="3A8352D5"/>
    <w:rsid w:val="3ADA44F0"/>
    <w:rsid w:val="3B2A302C"/>
    <w:rsid w:val="3B554FCD"/>
    <w:rsid w:val="3B763C73"/>
    <w:rsid w:val="3B7B5054"/>
    <w:rsid w:val="3BF66A04"/>
    <w:rsid w:val="3D375B2A"/>
    <w:rsid w:val="3DB40CE6"/>
    <w:rsid w:val="3DC77D38"/>
    <w:rsid w:val="3ED0375D"/>
    <w:rsid w:val="3ED907D5"/>
    <w:rsid w:val="3F09514A"/>
    <w:rsid w:val="3F540E14"/>
    <w:rsid w:val="3F8E64D9"/>
    <w:rsid w:val="3FF809DE"/>
    <w:rsid w:val="402B12F4"/>
    <w:rsid w:val="40D136D6"/>
    <w:rsid w:val="41187DFD"/>
    <w:rsid w:val="411D3F08"/>
    <w:rsid w:val="41370056"/>
    <w:rsid w:val="41E03FFC"/>
    <w:rsid w:val="42244725"/>
    <w:rsid w:val="424C28BA"/>
    <w:rsid w:val="425C212D"/>
    <w:rsid w:val="43512511"/>
    <w:rsid w:val="435546C5"/>
    <w:rsid w:val="43DF1E04"/>
    <w:rsid w:val="44675539"/>
    <w:rsid w:val="448B589A"/>
    <w:rsid w:val="4500552A"/>
    <w:rsid w:val="45227445"/>
    <w:rsid w:val="455017CC"/>
    <w:rsid w:val="456C0159"/>
    <w:rsid w:val="45AF788D"/>
    <w:rsid w:val="45E623A6"/>
    <w:rsid w:val="46193D8D"/>
    <w:rsid w:val="464C2760"/>
    <w:rsid w:val="469A0521"/>
    <w:rsid w:val="46C54267"/>
    <w:rsid w:val="46D836CA"/>
    <w:rsid w:val="48694E9B"/>
    <w:rsid w:val="48A329DD"/>
    <w:rsid w:val="4918644A"/>
    <w:rsid w:val="49AF046C"/>
    <w:rsid w:val="49C141C1"/>
    <w:rsid w:val="4A433E63"/>
    <w:rsid w:val="4A6D1D96"/>
    <w:rsid w:val="4A7B1138"/>
    <w:rsid w:val="4B0A24EE"/>
    <w:rsid w:val="4B166657"/>
    <w:rsid w:val="4BDD79E8"/>
    <w:rsid w:val="4C222077"/>
    <w:rsid w:val="4C557632"/>
    <w:rsid w:val="4CF35B89"/>
    <w:rsid w:val="4D09230A"/>
    <w:rsid w:val="4D37561D"/>
    <w:rsid w:val="4D6C3957"/>
    <w:rsid w:val="4D9E2CA3"/>
    <w:rsid w:val="4D9E450E"/>
    <w:rsid w:val="4DCA2350"/>
    <w:rsid w:val="4DE03BC8"/>
    <w:rsid w:val="4DEF7F53"/>
    <w:rsid w:val="4E1E12BB"/>
    <w:rsid w:val="4E7E1A33"/>
    <w:rsid w:val="4EBA18D8"/>
    <w:rsid w:val="4F3F7040"/>
    <w:rsid w:val="4F410527"/>
    <w:rsid w:val="4F7449D9"/>
    <w:rsid w:val="4FBC2407"/>
    <w:rsid w:val="5016548E"/>
    <w:rsid w:val="505D6CAE"/>
    <w:rsid w:val="50C20F86"/>
    <w:rsid w:val="513450B1"/>
    <w:rsid w:val="5216397A"/>
    <w:rsid w:val="524B7B94"/>
    <w:rsid w:val="527A719A"/>
    <w:rsid w:val="52A77618"/>
    <w:rsid w:val="52E816FE"/>
    <w:rsid w:val="52EE389B"/>
    <w:rsid w:val="538B4317"/>
    <w:rsid w:val="53C31882"/>
    <w:rsid w:val="5423152E"/>
    <w:rsid w:val="54234853"/>
    <w:rsid w:val="54460BC9"/>
    <w:rsid w:val="54A910CD"/>
    <w:rsid w:val="54CA7F2A"/>
    <w:rsid w:val="54CE6CAD"/>
    <w:rsid w:val="54F644EA"/>
    <w:rsid w:val="551B1606"/>
    <w:rsid w:val="55362CD8"/>
    <w:rsid w:val="558375CD"/>
    <w:rsid w:val="55B979DA"/>
    <w:rsid w:val="56394C8C"/>
    <w:rsid w:val="5657755F"/>
    <w:rsid w:val="56BE4CA6"/>
    <w:rsid w:val="56D2155C"/>
    <w:rsid w:val="56E76E35"/>
    <w:rsid w:val="56EF6D5D"/>
    <w:rsid w:val="580C0CA4"/>
    <w:rsid w:val="58907A08"/>
    <w:rsid w:val="589E6624"/>
    <w:rsid w:val="59197517"/>
    <w:rsid w:val="59212366"/>
    <w:rsid w:val="599609A5"/>
    <w:rsid w:val="59AF0000"/>
    <w:rsid w:val="5A75057D"/>
    <w:rsid w:val="5A7605D1"/>
    <w:rsid w:val="5ADC4C45"/>
    <w:rsid w:val="5B9B42D2"/>
    <w:rsid w:val="5BC16372"/>
    <w:rsid w:val="5CFC126A"/>
    <w:rsid w:val="5D31001B"/>
    <w:rsid w:val="5D514932"/>
    <w:rsid w:val="5D54764F"/>
    <w:rsid w:val="5D7E730B"/>
    <w:rsid w:val="5DC35609"/>
    <w:rsid w:val="5DF12ABE"/>
    <w:rsid w:val="5DF426ED"/>
    <w:rsid w:val="5DFE183A"/>
    <w:rsid w:val="5E2E1285"/>
    <w:rsid w:val="5E625FA1"/>
    <w:rsid w:val="5F291FAC"/>
    <w:rsid w:val="5F2A1C91"/>
    <w:rsid w:val="5F6426D2"/>
    <w:rsid w:val="607860EF"/>
    <w:rsid w:val="60DB0382"/>
    <w:rsid w:val="60E318AB"/>
    <w:rsid w:val="60E956CA"/>
    <w:rsid w:val="61452DDA"/>
    <w:rsid w:val="615B20B2"/>
    <w:rsid w:val="616C31F9"/>
    <w:rsid w:val="61AB1352"/>
    <w:rsid w:val="61D81C3F"/>
    <w:rsid w:val="62014AB4"/>
    <w:rsid w:val="62180B0F"/>
    <w:rsid w:val="621C57A9"/>
    <w:rsid w:val="62985681"/>
    <w:rsid w:val="62AE5FAB"/>
    <w:rsid w:val="62BC5086"/>
    <w:rsid w:val="636F03BF"/>
    <w:rsid w:val="63913917"/>
    <w:rsid w:val="63AA4843"/>
    <w:rsid w:val="63D013F2"/>
    <w:rsid w:val="63E96C5E"/>
    <w:rsid w:val="64285260"/>
    <w:rsid w:val="647A0F9C"/>
    <w:rsid w:val="64FB6488"/>
    <w:rsid w:val="6555430A"/>
    <w:rsid w:val="656D6F75"/>
    <w:rsid w:val="66143CB8"/>
    <w:rsid w:val="66B83F3E"/>
    <w:rsid w:val="66F02A7D"/>
    <w:rsid w:val="672E625B"/>
    <w:rsid w:val="67525253"/>
    <w:rsid w:val="678D6BD5"/>
    <w:rsid w:val="67C80D30"/>
    <w:rsid w:val="67DD27DA"/>
    <w:rsid w:val="68165DED"/>
    <w:rsid w:val="68933B71"/>
    <w:rsid w:val="68C95419"/>
    <w:rsid w:val="69BB512C"/>
    <w:rsid w:val="6A307915"/>
    <w:rsid w:val="6A514E22"/>
    <w:rsid w:val="6A851A86"/>
    <w:rsid w:val="6AA45663"/>
    <w:rsid w:val="6B014327"/>
    <w:rsid w:val="6B7A2EFC"/>
    <w:rsid w:val="6BD27921"/>
    <w:rsid w:val="6C5445B5"/>
    <w:rsid w:val="6C565939"/>
    <w:rsid w:val="6C6C4E02"/>
    <w:rsid w:val="6C990DAD"/>
    <w:rsid w:val="6CA35F19"/>
    <w:rsid w:val="6CE97EC3"/>
    <w:rsid w:val="6D535020"/>
    <w:rsid w:val="6D673079"/>
    <w:rsid w:val="6E021692"/>
    <w:rsid w:val="6E93594B"/>
    <w:rsid w:val="6ECA53A6"/>
    <w:rsid w:val="6EF5765F"/>
    <w:rsid w:val="6FC766DB"/>
    <w:rsid w:val="6FD21683"/>
    <w:rsid w:val="709A2C6F"/>
    <w:rsid w:val="70CF549C"/>
    <w:rsid w:val="70DC542A"/>
    <w:rsid w:val="7147284A"/>
    <w:rsid w:val="72770B8C"/>
    <w:rsid w:val="727714E3"/>
    <w:rsid w:val="72AA7287"/>
    <w:rsid w:val="72D4217B"/>
    <w:rsid w:val="731356B4"/>
    <w:rsid w:val="732E2F23"/>
    <w:rsid w:val="735E6021"/>
    <w:rsid w:val="737D4FDD"/>
    <w:rsid w:val="739948E5"/>
    <w:rsid w:val="73CD6C30"/>
    <w:rsid w:val="74015B65"/>
    <w:rsid w:val="74287D38"/>
    <w:rsid w:val="74440AA0"/>
    <w:rsid w:val="74615840"/>
    <w:rsid w:val="74F76A5E"/>
    <w:rsid w:val="75062448"/>
    <w:rsid w:val="754F4DD3"/>
    <w:rsid w:val="75561DB2"/>
    <w:rsid w:val="75901BA6"/>
    <w:rsid w:val="768D7B17"/>
    <w:rsid w:val="77AD1DBA"/>
    <w:rsid w:val="77D97D75"/>
    <w:rsid w:val="78513044"/>
    <w:rsid w:val="7874292E"/>
    <w:rsid w:val="78F63E9D"/>
    <w:rsid w:val="792B665B"/>
    <w:rsid w:val="798C1817"/>
    <w:rsid w:val="799079C0"/>
    <w:rsid w:val="79A80B9F"/>
    <w:rsid w:val="7A324E69"/>
    <w:rsid w:val="7B7037A9"/>
    <w:rsid w:val="7B9C2F11"/>
    <w:rsid w:val="7BD209DA"/>
    <w:rsid w:val="7BE7282A"/>
    <w:rsid w:val="7BEE04DF"/>
    <w:rsid w:val="7C3530A4"/>
    <w:rsid w:val="7CB16F31"/>
    <w:rsid w:val="7CE17466"/>
    <w:rsid w:val="7D1B6E3B"/>
    <w:rsid w:val="7D28316F"/>
    <w:rsid w:val="7DF44DA5"/>
    <w:rsid w:val="7E5A06EF"/>
    <w:rsid w:val="7EA67508"/>
    <w:rsid w:val="7EAE1B6C"/>
    <w:rsid w:val="7EBD04DA"/>
    <w:rsid w:val="7EEF415C"/>
    <w:rsid w:val="7F1A2AA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qFormat="1" w:unhideWhenUsed="0" w:uiPriority="9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autoRedefine/>
    <w:qFormat/>
    <w:uiPriority w:val="99"/>
    <w:pPr>
      <w:keepNext/>
      <w:keepLines/>
      <w:outlineLvl w:val="0"/>
    </w:pPr>
    <w:rPr>
      <w:b/>
      <w:bCs/>
      <w:kern w:val="44"/>
      <w:sz w:val="44"/>
      <w:szCs w:val="44"/>
    </w:rPr>
  </w:style>
  <w:style w:type="paragraph" w:styleId="3">
    <w:name w:val="heading 2"/>
    <w:basedOn w:val="1"/>
    <w:next w:val="1"/>
    <w:link w:val="15"/>
    <w:qFormat/>
    <w:locked/>
    <w:uiPriority w:val="99"/>
    <w:pPr>
      <w:keepNext/>
      <w:keepLines/>
      <w:spacing w:line="413" w:lineRule="auto"/>
      <w:outlineLvl w:val="1"/>
    </w:pPr>
    <w:rPr>
      <w:rFonts w:ascii="Arial" w:hAnsi="Arial" w:eastAsia="黑体"/>
      <w:b/>
      <w:sz w:val="32"/>
    </w:rPr>
  </w:style>
  <w:style w:type="character" w:default="1" w:styleId="13">
    <w:name w:val="Default Paragraph Font"/>
    <w:semiHidden/>
    <w:uiPriority w:val="99"/>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16"/>
    <w:autoRedefine/>
    <w:semiHidden/>
    <w:qFormat/>
    <w:uiPriority w:val="99"/>
    <w:pPr>
      <w:autoSpaceDE w:val="0"/>
      <w:autoSpaceDN w:val="0"/>
      <w:snapToGrid w:val="0"/>
      <w:spacing w:line="590" w:lineRule="atLeast"/>
      <w:ind w:firstLine="624"/>
      <w:jc w:val="left"/>
    </w:pPr>
    <w:rPr>
      <w:rFonts w:eastAsia="方正仿宋_GBK"/>
      <w:kern w:val="0"/>
      <w:sz w:val="32"/>
      <w:szCs w:val="32"/>
    </w:rPr>
  </w:style>
  <w:style w:type="paragraph" w:styleId="5">
    <w:name w:val="footer"/>
    <w:basedOn w:val="1"/>
    <w:link w:val="17"/>
    <w:autoRedefine/>
    <w:qFormat/>
    <w:uiPriority w:val="99"/>
    <w:pPr>
      <w:tabs>
        <w:tab w:val="center" w:pos="4153"/>
        <w:tab w:val="right" w:pos="8306"/>
      </w:tabs>
      <w:snapToGrid w:val="0"/>
      <w:jc w:val="left"/>
    </w:pPr>
    <w:rPr>
      <w:kern w:val="0"/>
      <w:sz w:val="18"/>
      <w:szCs w:val="18"/>
    </w:rPr>
  </w:style>
  <w:style w:type="paragraph" w:styleId="6">
    <w:name w:val="header"/>
    <w:basedOn w:val="1"/>
    <w:link w:val="18"/>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autoRedefine/>
    <w:qFormat/>
    <w:locked/>
    <w:uiPriority w:val="99"/>
  </w:style>
  <w:style w:type="paragraph" w:styleId="8">
    <w:name w:val="Subtitle"/>
    <w:basedOn w:val="1"/>
    <w:next w:val="1"/>
    <w:link w:val="19"/>
    <w:autoRedefine/>
    <w:qFormat/>
    <w:uiPriority w:val="99"/>
    <w:pPr>
      <w:ind w:firstLine="200" w:firstLineChars="200"/>
      <w:jc w:val="left"/>
      <w:outlineLvl w:val="2"/>
    </w:pPr>
    <w:rPr>
      <w:rFonts w:ascii="Cambria" w:hAnsi="Cambria" w:eastAsia="黑体"/>
      <w:bCs/>
      <w:kern w:val="28"/>
      <w:sz w:val="28"/>
      <w:szCs w:val="32"/>
    </w:rPr>
  </w:style>
  <w:style w:type="paragraph" w:styleId="9">
    <w:name w:val="toc 2"/>
    <w:basedOn w:val="1"/>
    <w:next w:val="1"/>
    <w:autoRedefine/>
    <w:qFormat/>
    <w:locked/>
    <w:uiPriority w:val="99"/>
    <w:pPr>
      <w:ind w:left="420" w:leftChars="200"/>
    </w:pPr>
  </w:style>
  <w:style w:type="paragraph" w:styleId="10">
    <w:name w:val="Title"/>
    <w:basedOn w:val="1"/>
    <w:next w:val="1"/>
    <w:link w:val="20"/>
    <w:autoRedefine/>
    <w:qFormat/>
    <w:locked/>
    <w:uiPriority w:val="99"/>
    <w:pPr>
      <w:spacing w:before="240" w:after="60"/>
      <w:jc w:val="center"/>
      <w:outlineLvl w:val="0"/>
    </w:pPr>
    <w:rPr>
      <w:rFonts w:ascii="Cambria" w:hAnsi="Cambria"/>
      <w:b/>
      <w:bCs/>
      <w:sz w:val="32"/>
      <w:szCs w:val="32"/>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Heading 1 Char"/>
    <w:basedOn w:val="13"/>
    <w:link w:val="2"/>
    <w:locked/>
    <w:uiPriority w:val="99"/>
    <w:rPr>
      <w:rFonts w:ascii="Times New Roman" w:hAnsi="Times New Roman" w:cs="Times New Roman"/>
      <w:b/>
      <w:bCs/>
      <w:kern w:val="44"/>
      <w:sz w:val="44"/>
      <w:szCs w:val="44"/>
    </w:rPr>
  </w:style>
  <w:style w:type="character" w:customStyle="1" w:styleId="15">
    <w:name w:val="Heading 2 Char"/>
    <w:basedOn w:val="13"/>
    <w:link w:val="3"/>
    <w:autoRedefine/>
    <w:semiHidden/>
    <w:qFormat/>
    <w:uiPriority w:val="9"/>
    <w:rPr>
      <w:rFonts w:asciiTheme="majorHAnsi" w:hAnsiTheme="majorHAnsi" w:eastAsiaTheme="majorEastAsia" w:cstheme="majorBidi"/>
      <w:b/>
      <w:bCs/>
      <w:sz w:val="32"/>
      <w:szCs w:val="32"/>
    </w:rPr>
  </w:style>
  <w:style w:type="character" w:customStyle="1" w:styleId="16">
    <w:name w:val="Comment Text Char"/>
    <w:basedOn w:val="13"/>
    <w:link w:val="4"/>
    <w:semiHidden/>
    <w:locked/>
    <w:uiPriority w:val="99"/>
    <w:rPr>
      <w:rFonts w:ascii="Times New Roman" w:hAnsi="Times New Roman" w:cs="Times New Roman"/>
      <w:sz w:val="24"/>
      <w:szCs w:val="24"/>
    </w:rPr>
  </w:style>
  <w:style w:type="character" w:customStyle="1" w:styleId="17">
    <w:name w:val="Footer Char"/>
    <w:basedOn w:val="13"/>
    <w:link w:val="5"/>
    <w:semiHidden/>
    <w:locked/>
    <w:uiPriority w:val="99"/>
    <w:rPr>
      <w:rFonts w:ascii="Times New Roman" w:hAnsi="Times New Roman" w:cs="Times New Roman"/>
      <w:sz w:val="18"/>
      <w:szCs w:val="18"/>
    </w:rPr>
  </w:style>
  <w:style w:type="character" w:customStyle="1" w:styleId="18">
    <w:name w:val="Header Char"/>
    <w:basedOn w:val="13"/>
    <w:link w:val="6"/>
    <w:autoRedefine/>
    <w:semiHidden/>
    <w:locked/>
    <w:uiPriority w:val="99"/>
    <w:rPr>
      <w:rFonts w:ascii="Times New Roman" w:hAnsi="Times New Roman" w:cs="Times New Roman"/>
      <w:sz w:val="18"/>
      <w:szCs w:val="18"/>
    </w:rPr>
  </w:style>
  <w:style w:type="character" w:customStyle="1" w:styleId="19">
    <w:name w:val="Subtitle Char"/>
    <w:basedOn w:val="13"/>
    <w:link w:val="8"/>
    <w:qFormat/>
    <w:locked/>
    <w:uiPriority w:val="99"/>
    <w:rPr>
      <w:rFonts w:ascii="Cambria" w:hAnsi="Cambria" w:cs="Times New Roman"/>
      <w:b/>
      <w:bCs/>
      <w:kern w:val="28"/>
      <w:sz w:val="32"/>
      <w:szCs w:val="32"/>
    </w:rPr>
  </w:style>
  <w:style w:type="character" w:customStyle="1" w:styleId="20">
    <w:name w:val="Title Char"/>
    <w:basedOn w:val="13"/>
    <w:link w:val="10"/>
    <w:uiPriority w:val="10"/>
    <w:rPr>
      <w:rFonts w:asciiTheme="majorHAnsi" w:hAnsiTheme="majorHAnsi" w:cstheme="majorBidi"/>
      <w:b/>
      <w:bCs/>
      <w:sz w:val="32"/>
      <w:szCs w:val="32"/>
    </w:rPr>
  </w:style>
  <w:style w:type="paragraph" w:customStyle="1" w:styleId="21">
    <w:name w:val="WPSOffice手动目录 1"/>
    <w:uiPriority w:val="99"/>
    <w:rPr>
      <w:rFonts w:ascii="Times New Roman" w:hAnsi="Times New Roman" w:eastAsia="宋体" w:cs="Times New Roman"/>
      <w:kern w:val="0"/>
      <w:sz w:val="20"/>
      <w:szCs w:val="20"/>
      <w:lang w:val="en-US" w:eastAsia="zh-CN" w:bidi="ar-SA"/>
    </w:rPr>
  </w:style>
  <w:style w:type="paragraph" w:customStyle="1" w:styleId="22">
    <w:name w:val="WPSOffice手动目录 2"/>
    <w:autoRedefine/>
    <w:qFormat/>
    <w:uiPriority w:val="99"/>
    <w:pPr>
      <w:ind w:left="200" w:leftChars="200"/>
    </w:pPr>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Kingsoft\wps\addons\pool\win-i386\knewfileres_1.0.0.3\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18</Pages>
  <Words>1389</Words>
  <Characters>7922</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2018-08-30T12:50:00Z</dcterms:created>
  <dc:creator>thinkpad</dc:creator>
  <cp:lastModifiedBy>siblings forever</cp:lastModifiedBy>
  <dcterms:modified xsi:type="dcterms:W3CDTF">2024-04-15T03:22:45Z</dcterms:modified>
  <dc:title>2017年南京市公交换乘优惠专项资金</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7B6CF1A210C944B299E9B4DB840B514B_13</vt:lpwstr>
  </property>
</Properties>
</file>